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42"/>
        </w:rPr>
        <w:t>Bibelanalyse - Dossier N, Antwortfassung</w:t>
      </w:r>
    </w:p>
    <w:p>
      <w:pPr>
        <w:spacing w:after="100"/>
      </w:pPr>
      <w:r>
        <w:rPr>
          <w:rFonts w:ascii="Arial" w:hAnsi="Arial"/>
          <w:b w:val="0"/>
          <w:i/>
          <w:sz w:val="20"/>
        </w:rPr>
        <w:t>Adam, Noah, Völkertafel, JHWH vor Mose, Dekalog, Schöpfung, Opfer/Gewalt und Plagen</w:t>
      </w:r>
    </w:p>
    <w:p>
      <w:pPr>
        <w:spacing w:after="100"/>
      </w:pPr>
      <w:r>
        <w:rPr>
          <w:rFonts w:ascii="Arial" w:hAnsi="Arial"/>
          <w:b w:val="0"/>
          <w:i w:val="0"/>
          <w:sz w:val="20"/>
        </w:rPr>
        <w:t>Arbeitsstand: 2026-07-22 01:02 | Erweiterte Fassung mit Antworten, Belegstufen und Quellenankern</w:t>
      </w:r>
    </w:p>
    <w:p>
      <w:pPr>
        <w:pStyle w:val="Heading1"/>
      </w:pPr>
      <w:r>
        <w:t>1. Ergebnis in Kurzform</w:t>
      </w:r>
    </w:p>
    <w:p>
      <w:pPr>
        <w:spacing w:after="100"/>
      </w:pPr>
      <w:r>
        <w:rPr>
          <w:rFonts w:ascii="Arial" w:hAnsi="Arial"/>
          <w:b w:val="0"/>
          <w:i w:val="0"/>
          <w:sz w:val="20"/>
        </w:rPr>
        <w:t>Die geprüften Fragen lassen sich nicht durch eine einzige harmonisierte Antwort lösen. Der belastbare Befund ist: Genesis bis Exodus enthalten mehrere Traditionen, die in der Endgestalt zusammengeführt wurden. Diese Endgestalt macht JHWH zum universalen Schöpfer und zugleich zum Bundesgott Israels. Ältere Textspuren zeigen aber eine religiöse Welt mit El-Titeln, göttlichem Rat, Völkerordnung, Opferkult, Kriegsgott-Motiven und Konkurrenz zu anderen Kulten.</w:t>
      </w:r>
    </w:p>
    <w:p>
      <w:pPr>
        <w:spacing w:after="100"/>
      </w:pPr>
      <w:r>
        <w:rPr>
          <w:rFonts w:ascii="Arial" w:hAnsi="Arial"/>
          <w:b w:val="0"/>
          <w:i w:val="0"/>
          <w:sz w:val="20"/>
        </w:rPr>
        <w:t>Die starke Antwort für unser Hauptthema lautet daher: Nicht alle Gottheiten sind historisch derselbe Gott. Aber die Bibel zeigt, wie JHWH in israelitischer Religion Funktionen, Titel und Machtbereiche anderer göttlicher Figuren aufnimmt und später monotheistisch als einziger Gott gedeutet wird.</w:t>
      </w:r>
    </w:p>
    <w:p>
      <w:pPr>
        <w:pStyle w:val="Heading1"/>
      </w:pPr>
      <w:r>
        <w:t>2. Belegmatrix der wichtigsten Antworten</w:t>
      </w:r>
    </w:p>
    <w:tbl>
      <w:tblPr>
        <w:tblStyle w:val="TableGrid"/>
        <w:tblW w:type="auto" w:w="0"/>
        <w:tblLook w:firstColumn="1" w:firstRow="1" w:lastColumn="0" w:lastRow="0" w:noHBand="0" w:noVBand="1" w:val="04A0"/>
      </w:tblPr>
      <w:tblGrid>
        <w:gridCol w:w="2520"/>
        <w:gridCol w:w="2520"/>
        <w:gridCol w:w="2520"/>
        <w:gridCol w:w="2520"/>
      </w:tblGrid>
      <w:tr>
        <w:tc>
          <w:tcPr>
            <w:tcW w:type="dxa" w:w="2520"/>
          </w:tcPr>
          <w:p>
            <w:r>
              <w:rPr>
                <w:rFonts w:ascii="Arial" w:hAnsi="Arial"/>
                <w:b/>
                <w:sz w:val="17"/>
              </w:rPr>
              <w:t>Frage</w:t>
            </w:r>
          </w:p>
        </w:tc>
        <w:tc>
          <w:tcPr>
            <w:tcW w:type="dxa" w:w="2520"/>
          </w:tcPr>
          <w:p>
            <w:r>
              <w:rPr>
                <w:rFonts w:ascii="Arial" w:hAnsi="Arial"/>
                <w:b/>
                <w:sz w:val="17"/>
              </w:rPr>
              <w:t>Antwort</w:t>
            </w:r>
          </w:p>
        </w:tc>
        <w:tc>
          <w:tcPr>
            <w:tcW w:type="dxa" w:w="2520"/>
          </w:tcPr>
          <w:p>
            <w:r>
              <w:rPr>
                <w:rFonts w:ascii="Arial" w:hAnsi="Arial"/>
                <w:b/>
                <w:sz w:val="17"/>
              </w:rPr>
              <w:t>Belegstufe</w:t>
            </w:r>
          </w:p>
        </w:tc>
        <w:tc>
          <w:tcPr>
            <w:tcW w:type="dxa" w:w="2520"/>
          </w:tcPr>
          <w:p>
            <w:r>
              <w:rPr>
                <w:rFonts w:ascii="Arial" w:hAnsi="Arial"/>
                <w:b/>
                <w:sz w:val="17"/>
              </w:rPr>
              <w:t>Wichtigste Quellen</w:t>
            </w:r>
          </w:p>
        </w:tc>
      </w:tr>
      <w:tr>
        <w:tc>
          <w:tcPr>
            <w:tcW w:type="dxa" w:w="2520"/>
          </w:tcPr>
          <w:p>
            <w:pPr>
              <w:spacing w:after="0"/>
            </w:pPr>
            <w:r>
              <w:rPr>
                <w:rFonts w:ascii="Arial" w:hAnsi="Arial"/>
                <w:sz w:val="16"/>
              </w:rPr>
              <w:t>Warum Adam/Eva, wenn später Israel im Mittelpunkt steht?</w:t>
            </w:r>
          </w:p>
        </w:tc>
        <w:tc>
          <w:tcPr>
            <w:tcW w:type="dxa" w:w="2520"/>
          </w:tcPr>
          <w:p>
            <w:pPr>
              <w:spacing w:after="0"/>
            </w:pPr>
            <w:r>
              <w:rPr>
                <w:rFonts w:ascii="Arial" w:hAnsi="Arial"/>
                <w:sz w:val="16"/>
              </w:rPr>
              <w:t>Genesis 1-11 ist universale Vorgeschichte; ab Genesis 12 wird diese auf Abraham/Israel verengt. Das ist keine neutrale Weltgeschichte, sondern israelitische Universalvorgeschichte.</w:t>
            </w:r>
          </w:p>
        </w:tc>
        <w:tc>
          <w:tcPr>
            <w:tcW w:type="dxa" w:w="2520"/>
          </w:tcPr>
          <w:p>
            <w:pPr>
              <w:spacing w:after="0"/>
            </w:pPr>
            <w:r>
              <w:rPr>
                <w:rFonts w:ascii="Arial" w:hAnsi="Arial"/>
                <w:sz w:val="16"/>
              </w:rPr>
              <w:t>Gut belegt als literarischer Befund.</w:t>
            </w:r>
          </w:p>
        </w:tc>
        <w:tc>
          <w:tcPr>
            <w:tcW w:type="dxa" w:w="2520"/>
          </w:tcPr>
          <w:p>
            <w:pPr>
              <w:spacing w:after="0"/>
            </w:pPr>
            <w:r>
              <w:rPr>
                <w:rFonts w:ascii="Arial" w:hAnsi="Arial"/>
                <w:sz w:val="16"/>
              </w:rPr>
              <w:t>Gen 1-11; Gen 10; lokale Datei 1_Mose.docx; TheTorah Genesis 10.</w:t>
            </w:r>
          </w:p>
        </w:tc>
      </w:tr>
      <w:tr>
        <w:tc>
          <w:tcPr>
            <w:tcW w:type="dxa" w:w="2520"/>
          </w:tcPr>
          <w:p>
            <w:pPr>
              <w:spacing w:after="0"/>
            </w:pPr>
            <w:r>
              <w:rPr>
                <w:rFonts w:ascii="Arial" w:hAnsi="Arial"/>
                <w:sz w:val="16"/>
              </w:rPr>
              <w:t>Spricht Gott in Gen 1,26 mit anderen Elohim?</w:t>
            </w:r>
          </w:p>
        </w:tc>
        <w:tc>
          <w:tcPr>
            <w:tcW w:type="dxa" w:w="2520"/>
          </w:tcPr>
          <w:p>
            <w:pPr>
              <w:spacing w:after="0"/>
            </w:pPr>
            <w:r>
              <w:rPr>
                <w:rFonts w:ascii="Arial" w:hAnsi="Arial"/>
                <w:sz w:val="16"/>
              </w:rPr>
              <w:t>Der Plural ist real. Historisch-kritisch ist ein himmlischer Rat plausibel; traditionell wird auch Hofstaat/Selbstberatung gelesen. Ein zwingender Beweis mehrerer gleichrangiger Schöpfer ist es nicht.</w:t>
            </w:r>
          </w:p>
        </w:tc>
        <w:tc>
          <w:tcPr>
            <w:tcW w:type="dxa" w:w="2520"/>
          </w:tcPr>
          <w:p>
            <w:pPr>
              <w:spacing w:after="0"/>
            </w:pPr>
            <w:r>
              <w:rPr>
                <w:rFonts w:ascii="Arial" w:hAnsi="Arial"/>
                <w:sz w:val="16"/>
              </w:rPr>
              <w:t>Plausibel, aber strittig.</w:t>
            </w:r>
          </w:p>
        </w:tc>
        <w:tc>
          <w:tcPr>
            <w:tcW w:type="dxa" w:w="2520"/>
          </w:tcPr>
          <w:p>
            <w:pPr>
              <w:spacing w:after="0"/>
            </w:pPr>
            <w:r>
              <w:rPr>
                <w:rFonts w:ascii="Arial" w:hAnsi="Arial"/>
                <w:sz w:val="16"/>
              </w:rPr>
              <w:t>Gen 1,26; Ps 82; Dtn 32; McClellan; Tov.</w:t>
            </w:r>
          </w:p>
        </w:tc>
      </w:tr>
      <w:tr>
        <w:tc>
          <w:tcPr>
            <w:tcW w:type="dxa" w:w="2520"/>
          </w:tcPr>
          <w:p>
            <w:pPr>
              <w:spacing w:after="0"/>
            </w:pPr>
            <w:r>
              <w:rPr>
                <w:rFonts w:ascii="Arial" w:hAnsi="Arial"/>
                <w:sz w:val="16"/>
              </w:rPr>
              <w:t>Was war vor Mose/Sinai?</w:t>
            </w:r>
          </w:p>
        </w:tc>
        <w:tc>
          <w:tcPr>
            <w:tcW w:type="dxa" w:w="2520"/>
          </w:tcPr>
          <w:p>
            <w:pPr>
              <w:spacing w:after="0"/>
            </w:pPr>
            <w:r>
              <w:rPr>
                <w:rFonts w:ascii="Arial" w:hAnsi="Arial"/>
                <w:sz w:val="16"/>
              </w:rPr>
              <w:t>Ex 6,3 bewahrt eine Spannung: Patriarchen kennen El Schaddai; JHWH-Name wird Mose programmatisch offenbart. Das passt zu Quellen- und Religionsgeschichte.</w:t>
            </w:r>
          </w:p>
        </w:tc>
        <w:tc>
          <w:tcPr>
            <w:tcW w:type="dxa" w:w="2520"/>
          </w:tcPr>
          <w:p>
            <w:pPr>
              <w:spacing w:after="0"/>
            </w:pPr>
            <w:r>
              <w:rPr>
                <w:rFonts w:ascii="Arial" w:hAnsi="Arial"/>
                <w:sz w:val="16"/>
              </w:rPr>
              <w:t>Gut belegt als Spannung, Deutung strittig.</w:t>
            </w:r>
          </w:p>
        </w:tc>
        <w:tc>
          <w:tcPr>
            <w:tcW w:type="dxa" w:w="2520"/>
          </w:tcPr>
          <w:p>
            <w:pPr>
              <w:spacing w:after="0"/>
            </w:pPr>
            <w:r>
              <w:rPr>
                <w:rFonts w:ascii="Arial" w:hAnsi="Arial"/>
                <w:sz w:val="16"/>
              </w:rPr>
              <w:t>Ex 6,3; NET Bible; evReli; JHWH/El-Forschung.</w:t>
            </w:r>
          </w:p>
        </w:tc>
      </w:tr>
      <w:tr>
        <w:tc>
          <w:tcPr>
            <w:tcW w:type="dxa" w:w="2520"/>
          </w:tcPr>
          <w:p>
            <w:pPr>
              <w:spacing w:after="0"/>
            </w:pPr>
            <w:r>
              <w:rPr>
                <w:rFonts w:ascii="Arial" w:hAnsi="Arial"/>
                <w:sz w:val="16"/>
              </w:rPr>
              <w:t>Ist Noah der neue Ursprung?</w:t>
            </w:r>
          </w:p>
        </w:tc>
        <w:tc>
          <w:tcPr>
            <w:tcW w:type="dxa" w:w="2520"/>
          </w:tcPr>
          <w:p>
            <w:pPr>
              <w:spacing w:after="0"/>
            </w:pPr>
            <w:r>
              <w:rPr>
                <w:rFonts w:ascii="Arial" w:hAnsi="Arial"/>
                <w:sz w:val="16"/>
              </w:rPr>
              <w:t>Ja, innerhalb der Erzählung ist Noah zweiter Adam. Biologisch-historisch ist das nicht plausibel; literarisch ist es ein Reboot- und Bundmodell.</w:t>
            </w:r>
          </w:p>
        </w:tc>
        <w:tc>
          <w:tcPr>
            <w:tcW w:type="dxa" w:w="2520"/>
          </w:tcPr>
          <w:p>
            <w:pPr>
              <w:spacing w:after="0"/>
            </w:pPr>
            <w:r>
              <w:rPr>
                <w:rFonts w:ascii="Arial" w:hAnsi="Arial"/>
                <w:sz w:val="16"/>
              </w:rPr>
              <w:t>Textlich belegt, historisch nicht belegbar.</w:t>
            </w:r>
          </w:p>
        </w:tc>
        <w:tc>
          <w:tcPr>
            <w:tcW w:type="dxa" w:w="2520"/>
          </w:tcPr>
          <w:p>
            <w:pPr>
              <w:spacing w:after="0"/>
            </w:pPr>
            <w:r>
              <w:rPr>
                <w:rFonts w:ascii="Arial" w:hAnsi="Arial"/>
                <w:sz w:val="16"/>
              </w:rPr>
              <w:t>Gen 6-10; Carr; Clines; lokale 1_Mose.docx.</w:t>
            </w:r>
          </w:p>
        </w:tc>
      </w:tr>
      <w:tr>
        <w:tc>
          <w:tcPr>
            <w:tcW w:type="dxa" w:w="2520"/>
          </w:tcPr>
          <w:p>
            <w:pPr>
              <w:spacing w:after="0"/>
            </w:pPr>
            <w:r>
              <w:rPr>
                <w:rFonts w:ascii="Arial" w:hAnsi="Arial"/>
                <w:sz w:val="16"/>
              </w:rPr>
              <w:t>Wie entstehen alle Völker?</w:t>
            </w:r>
          </w:p>
        </w:tc>
        <w:tc>
          <w:tcPr>
            <w:tcW w:type="dxa" w:w="2520"/>
          </w:tcPr>
          <w:p>
            <w:pPr>
              <w:spacing w:after="0"/>
            </w:pPr>
            <w:r>
              <w:rPr>
                <w:rFonts w:ascii="Arial" w:hAnsi="Arial"/>
                <w:sz w:val="16"/>
              </w:rPr>
              <w:t>Genesis 10 ordnet die antik bekannte Welt genealogisch; Babel erklärt Sprachen/Zerstreuung. Es ist kein globales ethnologisches Modell.</w:t>
            </w:r>
          </w:p>
        </w:tc>
        <w:tc>
          <w:tcPr>
            <w:tcW w:type="dxa" w:w="2520"/>
          </w:tcPr>
          <w:p>
            <w:pPr>
              <w:spacing w:after="0"/>
            </w:pPr>
            <w:r>
              <w:rPr>
                <w:rFonts w:ascii="Arial" w:hAnsi="Arial"/>
                <w:sz w:val="16"/>
              </w:rPr>
              <w:t>Gut belegt.</w:t>
            </w:r>
          </w:p>
        </w:tc>
        <w:tc>
          <w:tcPr>
            <w:tcW w:type="dxa" w:w="2520"/>
          </w:tcPr>
          <w:p>
            <w:pPr>
              <w:spacing w:after="0"/>
            </w:pPr>
            <w:r>
              <w:rPr>
                <w:rFonts w:ascii="Arial" w:hAnsi="Arial"/>
                <w:sz w:val="16"/>
              </w:rPr>
              <w:t>Gen 10-11; TheTorah Gen 10; lokale Treffer.</w:t>
            </w:r>
          </w:p>
        </w:tc>
      </w:tr>
      <w:tr>
        <w:tc>
          <w:tcPr>
            <w:tcW w:type="dxa" w:w="2520"/>
          </w:tcPr>
          <w:p>
            <w:pPr>
              <w:spacing w:after="0"/>
            </w:pPr>
            <w:r>
              <w:rPr>
                <w:rFonts w:ascii="Arial" w:hAnsi="Arial"/>
                <w:sz w:val="16"/>
              </w:rPr>
              <w:t>Warum andere Gebote nach zerbrochenen Tafeln?</w:t>
            </w:r>
          </w:p>
        </w:tc>
        <w:tc>
          <w:tcPr>
            <w:tcW w:type="dxa" w:w="2520"/>
          </w:tcPr>
          <w:p>
            <w:pPr>
              <w:spacing w:after="0"/>
            </w:pPr>
            <w:r>
              <w:rPr>
                <w:rFonts w:ascii="Arial" w:hAnsi="Arial"/>
                <w:sz w:val="16"/>
              </w:rPr>
              <w:t>Ex 34 enthält eine kultische Zehn-Worte-Tradition, den Ritualdekalog, neben Ex 20/Dtn 5. Wahrscheinlich wurden unterschiedliche Gesetzestraditionen zusammengeführt.</w:t>
            </w:r>
          </w:p>
        </w:tc>
        <w:tc>
          <w:tcPr>
            <w:tcW w:type="dxa" w:w="2520"/>
          </w:tcPr>
          <w:p>
            <w:pPr>
              <w:spacing w:after="0"/>
            </w:pPr>
            <w:r>
              <w:rPr>
                <w:rFonts w:ascii="Arial" w:hAnsi="Arial"/>
                <w:sz w:val="16"/>
              </w:rPr>
              <w:t>Gut belegt, harmonistische Gegenlesung vorhanden.</w:t>
            </w:r>
          </w:p>
        </w:tc>
        <w:tc>
          <w:tcPr>
            <w:tcW w:type="dxa" w:w="2520"/>
          </w:tcPr>
          <w:p>
            <w:pPr>
              <w:spacing w:after="0"/>
            </w:pPr>
            <w:r>
              <w:rPr>
                <w:rFonts w:ascii="Arial" w:hAnsi="Arial"/>
                <w:sz w:val="16"/>
              </w:rPr>
              <w:t>Ex 20; Dtn 5; Ex 34; Enter the Bible; Levinson; SOTS.</w:t>
            </w:r>
          </w:p>
        </w:tc>
      </w:tr>
      <w:tr>
        <w:tc>
          <w:tcPr>
            <w:tcW w:type="dxa" w:w="2520"/>
          </w:tcPr>
          <w:p>
            <w:pPr>
              <w:spacing w:after="0"/>
            </w:pPr>
            <w:r>
              <w:rPr>
                <w:rFonts w:ascii="Arial" w:hAnsi="Arial"/>
                <w:sz w:val="16"/>
              </w:rPr>
              <w:t>Warum zwei Schöpfungsgeschichten?</w:t>
            </w:r>
          </w:p>
        </w:tc>
        <w:tc>
          <w:tcPr>
            <w:tcW w:type="dxa" w:w="2520"/>
          </w:tcPr>
          <w:p>
            <w:pPr>
              <w:spacing w:after="0"/>
            </w:pPr>
            <w:r>
              <w:rPr>
                <w:rFonts w:ascii="Arial" w:hAnsi="Arial"/>
                <w:sz w:val="16"/>
              </w:rPr>
              <w:t>Gen 1 und Gen 2-3 sind unterschiedliche Schöpfungstraditionen: kosmische Ordnung vs. Eden-/Menschenerzählung. Sie wurden kanonisch kombiniert.</w:t>
            </w:r>
          </w:p>
        </w:tc>
        <w:tc>
          <w:tcPr>
            <w:tcW w:type="dxa" w:w="2520"/>
          </w:tcPr>
          <w:p>
            <w:pPr>
              <w:spacing w:after="0"/>
            </w:pPr>
            <w:r>
              <w:rPr>
                <w:rFonts w:ascii="Arial" w:hAnsi="Arial"/>
                <w:sz w:val="16"/>
              </w:rPr>
              <w:t>Breiter Forschungsstandard, konservativ bestritten.</w:t>
            </w:r>
          </w:p>
        </w:tc>
        <w:tc>
          <w:tcPr>
            <w:tcW w:type="dxa" w:w="2520"/>
          </w:tcPr>
          <w:p>
            <w:pPr>
              <w:spacing w:after="0"/>
            </w:pPr>
            <w:r>
              <w:rPr>
                <w:rFonts w:ascii="Arial" w:hAnsi="Arial"/>
                <w:sz w:val="16"/>
              </w:rPr>
              <w:t>Cambridge; BAS; evReli.</w:t>
            </w:r>
          </w:p>
        </w:tc>
      </w:tr>
      <w:tr>
        <w:tc>
          <w:tcPr>
            <w:tcW w:type="dxa" w:w="2520"/>
          </w:tcPr>
          <w:p>
            <w:pPr>
              <w:spacing w:after="0"/>
            </w:pPr>
            <w:r>
              <w:rPr>
                <w:rFonts w:ascii="Arial" w:hAnsi="Arial"/>
                <w:sz w:val="16"/>
              </w:rPr>
              <w:t>Warum ruht Gott am 7. Tag?</w:t>
            </w:r>
          </w:p>
        </w:tc>
        <w:tc>
          <w:tcPr>
            <w:tcW w:type="dxa" w:w="2520"/>
          </w:tcPr>
          <w:p>
            <w:pPr>
              <w:spacing w:after="0"/>
            </w:pPr>
            <w:r>
              <w:rPr>
                <w:rFonts w:ascii="Arial" w:hAnsi="Arial"/>
                <w:sz w:val="16"/>
              </w:rPr>
              <w:t>Nicht aus Erschöpfung, sondern als Vollendung, Kosmosordnung und Sabbatbegründung.</w:t>
            </w:r>
          </w:p>
        </w:tc>
        <w:tc>
          <w:tcPr>
            <w:tcW w:type="dxa" w:w="2520"/>
          </w:tcPr>
          <w:p>
            <w:pPr>
              <w:spacing w:after="0"/>
            </w:pPr>
            <w:r>
              <w:rPr>
                <w:rFonts w:ascii="Arial" w:hAnsi="Arial"/>
                <w:sz w:val="16"/>
              </w:rPr>
              <w:t>Gut belegt als theologische Funktion.</w:t>
            </w:r>
          </w:p>
        </w:tc>
        <w:tc>
          <w:tcPr>
            <w:tcW w:type="dxa" w:w="2520"/>
          </w:tcPr>
          <w:p>
            <w:pPr>
              <w:spacing w:after="0"/>
            </w:pPr>
            <w:r>
              <w:rPr>
                <w:rFonts w:ascii="Arial" w:hAnsi="Arial"/>
                <w:sz w:val="16"/>
              </w:rPr>
              <w:t>Gen 2,1-3; P-Quelle; Sabbath-Forschung.</w:t>
            </w:r>
          </w:p>
        </w:tc>
      </w:tr>
      <w:tr>
        <w:tc>
          <w:tcPr>
            <w:tcW w:type="dxa" w:w="2520"/>
          </w:tcPr>
          <w:p>
            <w:pPr>
              <w:spacing w:after="0"/>
            </w:pPr>
            <w:r>
              <w:rPr>
                <w:rFonts w:ascii="Arial" w:hAnsi="Arial"/>
                <w:sz w:val="16"/>
              </w:rPr>
              <w:t>Warum Tiere töten / Fleisch essen?</w:t>
            </w:r>
          </w:p>
        </w:tc>
        <w:tc>
          <w:tcPr>
            <w:tcW w:type="dxa" w:w="2520"/>
          </w:tcPr>
          <w:p>
            <w:pPr>
              <w:spacing w:after="0"/>
            </w:pPr>
            <w:r>
              <w:rPr>
                <w:rFonts w:ascii="Arial" w:hAnsi="Arial"/>
                <w:sz w:val="16"/>
              </w:rPr>
              <w:t>Gen 1 wirkt vegetarisch-ideal; Gen 9 erlaubt Fleisch nach der Flut als Konzession in einer beschädigten Welt.</w:t>
            </w:r>
          </w:p>
        </w:tc>
        <w:tc>
          <w:tcPr>
            <w:tcW w:type="dxa" w:w="2520"/>
          </w:tcPr>
          <w:p>
            <w:pPr>
              <w:spacing w:after="0"/>
            </w:pPr>
            <w:r>
              <w:rPr>
                <w:rFonts w:ascii="Arial" w:hAnsi="Arial"/>
                <w:sz w:val="16"/>
              </w:rPr>
              <w:t>Gut belegbarer Textkontrast.</w:t>
            </w:r>
          </w:p>
        </w:tc>
        <w:tc>
          <w:tcPr>
            <w:tcW w:type="dxa" w:w="2520"/>
          </w:tcPr>
          <w:p>
            <w:pPr>
              <w:spacing w:after="0"/>
            </w:pPr>
            <w:r>
              <w:rPr>
                <w:rFonts w:ascii="Arial" w:hAnsi="Arial"/>
                <w:sz w:val="16"/>
              </w:rPr>
              <w:t>Gen 1,29-30; Gen 9,3; Sage 2017.</w:t>
            </w:r>
          </w:p>
        </w:tc>
      </w:tr>
      <w:tr>
        <w:tc>
          <w:tcPr>
            <w:tcW w:type="dxa" w:w="2520"/>
          </w:tcPr>
          <w:p>
            <w:pPr>
              <w:spacing w:after="0"/>
            </w:pPr>
            <w:r>
              <w:rPr>
                <w:rFonts w:ascii="Arial" w:hAnsi="Arial"/>
                <w:sz w:val="16"/>
              </w:rPr>
              <w:t>Opfer und Menschenopfer?</w:t>
            </w:r>
          </w:p>
        </w:tc>
        <w:tc>
          <w:tcPr>
            <w:tcW w:type="dxa" w:w="2520"/>
          </w:tcPr>
          <w:p>
            <w:pPr>
              <w:spacing w:after="0"/>
            </w:pPr>
            <w:r>
              <w:rPr>
                <w:rFonts w:ascii="Arial" w:hAnsi="Arial"/>
                <w:sz w:val="16"/>
              </w:rPr>
              <w:t>Tieropfer sind altorientalischer Normalcult; Kinderopfer werden verboten, bleiben aber als Problem in Texten präsent. JHWH-Kult entsteht in Opferreligion, nicht außerhalb.</w:t>
            </w:r>
          </w:p>
        </w:tc>
        <w:tc>
          <w:tcPr>
            <w:tcW w:type="dxa" w:w="2520"/>
          </w:tcPr>
          <w:p>
            <w:pPr>
              <w:spacing w:after="0"/>
            </w:pPr>
            <w:r>
              <w:rPr>
                <w:rFonts w:ascii="Arial" w:hAnsi="Arial"/>
                <w:sz w:val="16"/>
              </w:rPr>
              <w:t>Gut belegt, Details strittig.</w:t>
            </w:r>
          </w:p>
        </w:tc>
        <w:tc>
          <w:tcPr>
            <w:tcW w:type="dxa" w:w="2520"/>
          </w:tcPr>
          <w:p>
            <w:pPr>
              <w:spacing w:after="0"/>
            </w:pPr>
            <w:r>
              <w:rPr>
                <w:rFonts w:ascii="Arial" w:hAnsi="Arial"/>
                <w:sz w:val="16"/>
              </w:rPr>
              <w:t>Levitikus; Gen 22; Ri 11; Feldman; Jewish Encyclopedia; Oxford 2025.</w:t>
            </w:r>
          </w:p>
        </w:tc>
      </w:tr>
      <w:tr>
        <w:tc>
          <w:tcPr>
            <w:tcW w:type="dxa" w:w="2520"/>
          </w:tcPr>
          <w:p>
            <w:pPr>
              <w:spacing w:after="0"/>
            </w:pPr>
            <w:r>
              <w:rPr>
                <w:rFonts w:ascii="Arial" w:hAnsi="Arial"/>
                <w:sz w:val="16"/>
              </w:rPr>
              <w:t>Plagen: Götterstreit?</w:t>
            </w:r>
          </w:p>
        </w:tc>
        <w:tc>
          <w:tcPr>
            <w:tcW w:type="dxa" w:w="2520"/>
          </w:tcPr>
          <w:p>
            <w:pPr>
              <w:spacing w:after="0"/>
            </w:pPr>
            <w:r>
              <w:rPr>
                <w:rFonts w:ascii="Arial" w:hAnsi="Arial"/>
                <w:sz w:val="16"/>
              </w:rPr>
              <w:t>Ex 12,12 deutet Plagen ausdrücklich als Gericht über Ägyptens Götter. Einzelzuordnung zu bestimmten Gottheiten bleibt unsicher.</w:t>
            </w:r>
          </w:p>
        </w:tc>
        <w:tc>
          <w:tcPr>
            <w:tcW w:type="dxa" w:w="2520"/>
          </w:tcPr>
          <w:p>
            <w:pPr>
              <w:spacing w:after="0"/>
            </w:pPr>
            <w:r>
              <w:rPr>
                <w:rFonts w:ascii="Arial" w:hAnsi="Arial"/>
                <w:sz w:val="16"/>
              </w:rPr>
              <w:t>Textlich belegt, Detailzuordnung strittig.</w:t>
            </w:r>
          </w:p>
        </w:tc>
        <w:tc>
          <w:tcPr>
            <w:tcW w:type="dxa" w:w="2520"/>
          </w:tcPr>
          <w:p>
            <w:pPr>
              <w:spacing w:after="0"/>
            </w:pPr>
            <w:r>
              <w:rPr>
                <w:rFonts w:ascii="Arial" w:hAnsi="Arial"/>
                <w:sz w:val="16"/>
              </w:rPr>
              <w:t>Ex 12,12; Num 33,4; Concordia; BibleHub.</w:t>
            </w:r>
          </w:p>
        </w:tc>
      </w:tr>
      <w:tr>
        <w:tc>
          <w:tcPr>
            <w:tcW w:type="dxa" w:w="2520"/>
          </w:tcPr>
          <w:p>
            <w:pPr>
              <w:spacing w:after="0"/>
            </w:pPr>
            <w:r>
              <w:rPr>
                <w:rFonts w:ascii="Arial" w:hAnsi="Arial"/>
                <w:sz w:val="16"/>
              </w:rPr>
              <w:t>Warum greifen andere Elohim nicht ein?</w:t>
            </w:r>
          </w:p>
        </w:tc>
        <w:tc>
          <w:tcPr>
            <w:tcW w:type="dxa" w:w="2520"/>
          </w:tcPr>
          <w:p>
            <w:pPr>
              <w:spacing w:after="0"/>
            </w:pPr>
            <w:r>
              <w:rPr>
                <w:rFonts w:ascii="Arial" w:hAnsi="Arial"/>
                <w:sz w:val="16"/>
              </w:rPr>
              <w:t>Die Endgestalt lässt keine gleichrangige Gegenmacht zu. Ältere Texte zeigen aber, dass göttliche Wesen gerichtet, entmachtet oder umgedeutet werden.</w:t>
            </w:r>
          </w:p>
        </w:tc>
        <w:tc>
          <w:tcPr>
            <w:tcW w:type="dxa" w:w="2520"/>
          </w:tcPr>
          <w:p>
            <w:pPr>
              <w:spacing w:after="0"/>
            </w:pPr>
            <w:r>
              <w:rPr>
                <w:rFonts w:ascii="Arial" w:hAnsi="Arial"/>
                <w:sz w:val="16"/>
              </w:rPr>
              <w:t>Plausibel als Entwicklung, nicht direkt erzählter Pantheonkrieg.</w:t>
            </w:r>
          </w:p>
        </w:tc>
        <w:tc>
          <w:tcPr>
            <w:tcW w:type="dxa" w:w="2520"/>
          </w:tcPr>
          <w:p>
            <w:pPr>
              <w:spacing w:after="0"/>
            </w:pPr>
            <w:r>
              <w:rPr>
                <w:rFonts w:ascii="Arial" w:hAnsi="Arial"/>
                <w:sz w:val="16"/>
              </w:rPr>
              <w:t>Ps 82; Dtn 32; 1 Kön 22; Second-Temple-Texte.</w:t>
            </w:r>
          </w:p>
        </w:tc>
      </w:tr>
    </w:tbl>
    <w:p/>
    <w:p>
      <w:pPr>
        <w:pStyle w:val="Heading1"/>
      </w:pPr>
      <w:r>
        <w:t>3. Adam/Eva: Antwort auf die Ursprungsfrage</w:t>
      </w:r>
    </w:p>
    <w:p>
      <w:pPr>
        <w:spacing w:after="100"/>
      </w:pPr>
      <w:r>
        <w:rPr>
          <w:rFonts w:ascii="Arial" w:hAnsi="Arial"/>
          <w:b w:val="0"/>
          <w:i w:val="0"/>
          <w:sz w:val="20"/>
        </w:rPr>
        <w:t>Die biblische Erzählung arbeitet mit einem doppelten Maßstab: Sie beginnt universal, wird aber genealogisch selektiv. Adam ist in Genesis nicht nur Eigenname, sondern steht auch für 'Mensch'. Lokale Arbeitsdatei 1_Mose.docx vermerkt entsprechend, dass Adam vom hebräischen Zusammenhang mit Erdboden/Ackererde her als Mensch vom Erdboden verstanden wird.</w:t>
      </w:r>
    </w:p>
    <w:p>
      <w:pPr>
        <w:spacing w:after="100"/>
      </w:pPr>
      <w:r>
        <w:rPr>
          <w:rFonts w:ascii="Arial" w:hAnsi="Arial"/>
          <w:b w:val="0"/>
          <w:i w:val="0"/>
          <w:sz w:val="20"/>
        </w:rPr>
        <w:t>Antwort: Adam und Eva sind in der Endgestalt der Bibel Ursprung der Menschheit. Für die historische Analyse sind sie aber Teil einer Ursprungsmythologie, die erklären soll, warum Menschen sterblich, arbeitspflichtig, moralisch verantwortlich und von direkter Gottnähe getrennt sind. Dass die spätere Genealogie nur die für Israel relevante Linie verfolgt, ist kein Zufall, sondern Zweck der Erzählung.</w:t>
      </w:r>
    </w:p>
    <w:p>
      <w:pPr>
        <w:spacing w:after="60"/>
        <w:ind w:left="360" w:hanging="216"/>
      </w:pPr>
      <w:r>
        <w:rPr>
          <w:rFonts w:ascii="Arial" w:hAnsi="Arial"/>
          <w:sz w:val="19"/>
        </w:rPr>
        <w:t>- Gen 1: Menschheit als Bild Gottes, männlich und weiblich, mit Herrschaftsauftrag.</w:t>
      </w:r>
    </w:p>
    <w:p>
      <w:pPr>
        <w:spacing w:after="60"/>
        <w:ind w:left="360" w:hanging="216"/>
      </w:pPr>
      <w:r>
        <w:rPr>
          <w:rFonts w:ascii="Arial" w:hAnsi="Arial"/>
          <w:sz w:val="19"/>
        </w:rPr>
        <w:t>- Gen 2-3: Adam/Eva im Garten, Gebot, Übertretung, Vertreibung, Arbeit, Schmerz, Tod.</w:t>
      </w:r>
    </w:p>
    <w:p>
      <w:pPr>
        <w:spacing w:after="60"/>
        <w:ind w:left="360" w:hanging="216"/>
      </w:pPr>
      <w:r>
        <w:rPr>
          <w:rFonts w:ascii="Arial" w:hAnsi="Arial"/>
          <w:sz w:val="19"/>
        </w:rPr>
        <w:t>- Gen 4-5: genealogischer Übergang zu Seth und Noah; andere Linien werden nur soweit genannt, wie sie für die Erzählung nützlich sind.</w:t>
      </w:r>
    </w:p>
    <w:p>
      <w:pPr>
        <w:spacing w:after="100"/>
      </w:pPr>
      <w:r>
        <w:rPr>
          <w:rFonts w:ascii="Arial" w:hAnsi="Arial"/>
          <w:b w:val="0"/>
          <w:i w:val="0"/>
          <w:sz w:val="20"/>
        </w:rPr>
        <w:t>Bedeutung für die Hauptthese: Die Bibel setzt spätere israelitische Theologie an den Anfang der Welt. Das ist ein Muster der Rückprojektion: JHWH/Elohim wird in Genesis als Schöpfer aller Menschen dargestellt, obwohl die religionsgeschichtliche Profilierung JHWHs als Israels Gott wahrscheinlich später einsetzt.</w:t>
      </w:r>
    </w:p>
    <w:p>
      <w:pPr>
        <w:pStyle w:val="Heading1"/>
      </w:pPr>
      <w:r>
        <w:t>4. Gen 1,26: Spricht Gott mit anderen Elohim?</w:t>
      </w:r>
    </w:p>
    <w:p>
      <w:pPr>
        <w:spacing w:after="100"/>
      </w:pPr>
      <w:r>
        <w:rPr>
          <w:rFonts w:ascii="Arial" w:hAnsi="Arial"/>
          <w:b w:val="0"/>
          <w:i w:val="0"/>
          <w:sz w:val="20"/>
        </w:rPr>
        <w:t>Der Textbefund ist eindeutig pluralisch: 'Lasst uns Menschen machen nach unserem Bild'. Direkt danach folgt aber singularisch: 'Gott schuf den Menschen'. Daraus folgt: Der Text bewahrt eine Mehrheitsform, ohne daraus eine offene Mehrgötter-Schöpfungserzählung zu machen.</w:t>
      </w:r>
    </w:p>
    <w:tbl>
      <w:tblPr>
        <w:tblStyle w:val="TableGrid"/>
        <w:tblW w:type="auto" w:w="0"/>
        <w:tblLook w:firstColumn="1" w:firstRow="1" w:lastColumn="0" w:lastRow="0" w:noHBand="0" w:noVBand="1" w:val="04A0"/>
      </w:tblPr>
      <w:tblGrid>
        <w:gridCol w:w="3360"/>
        <w:gridCol w:w="3360"/>
        <w:gridCol w:w="3360"/>
      </w:tblGrid>
      <w:tr>
        <w:tc>
          <w:tcPr>
            <w:tcW w:type="dxa" w:w="3360"/>
          </w:tcPr>
          <w:p>
            <w:r>
              <w:rPr>
                <w:rFonts w:ascii="Arial" w:hAnsi="Arial"/>
                <w:b/>
                <w:sz w:val="17"/>
              </w:rPr>
              <w:t>Deutung</w:t>
            </w:r>
          </w:p>
        </w:tc>
        <w:tc>
          <w:tcPr>
            <w:tcW w:type="dxa" w:w="3360"/>
          </w:tcPr>
          <w:p>
            <w:r>
              <w:rPr>
                <w:rFonts w:ascii="Arial" w:hAnsi="Arial"/>
                <w:b/>
                <w:sz w:val="17"/>
              </w:rPr>
              <w:t>Erklärung</w:t>
            </w:r>
          </w:p>
        </w:tc>
        <w:tc>
          <w:tcPr>
            <w:tcW w:type="dxa" w:w="3360"/>
          </w:tcPr>
          <w:p>
            <w:r>
              <w:rPr>
                <w:rFonts w:ascii="Arial" w:hAnsi="Arial"/>
                <w:b/>
                <w:sz w:val="17"/>
              </w:rPr>
              <w:t>Bewertung</w:t>
            </w:r>
          </w:p>
        </w:tc>
      </w:tr>
      <w:tr>
        <w:tc>
          <w:tcPr>
            <w:tcW w:type="dxa" w:w="3360"/>
          </w:tcPr>
          <w:p>
            <w:pPr>
              <w:spacing w:after="0"/>
            </w:pPr>
            <w:r>
              <w:rPr>
                <w:rFonts w:ascii="Arial" w:hAnsi="Arial"/>
                <w:sz w:val="16"/>
              </w:rPr>
              <w:t>Himmlischer Rat</w:t>
            </w:r>
          </w:p>
        </w:tc>
        <w:tc>
          <w:tcPr>
            <w:tcW w:type="dxa" w:w="3360"/>
          </w:tcPr>
          <w:p>
            <w:pPr>
              <w:spacing w:after="0"/>
            </w:pPr>
            <w:r>
              <w:rPr>
                <w:rFonts w:ascii="Arial" w:hAnsi="Arial"/>
                <w:sz w:val="16"/>
              </w:rPr>
              <w:t>Gott spricht vor/mit göttlichen Wesen oder Hofstaat.</w:t>
            </w:r>
          </w:p>
        </w:tc>
        <w:tc>
          <w:tcPr>
            <w:tcW w:type="dxa" w:w="3360"/>
          </w:tcPr>
          <w:p>
            <w:pPr>
              <w:spacing w:after="0"/>
            </w:pPr>
            <w:r>
              <w:rPr>
                <w:rFonts w:ascii="Arial" w:hAnsi="Arial"/>
                <w:sz w:val="16"/>
              </w:rPr>
              <w:t>Für unser Projekt am wichtigsten; passt zu Ps 82, 1 Kön 22, Hiob 1 und Dtn 32.</w:t>
            </w:r>
          </w:p>
        </w:tc>
      </w:tr>
      <w:tr>
        <w:tc>
          <w:tcPr>
            <w:tcW w:type="dxa" w:w="3360"/>
          </w:tcPr>
          <w:p>
            <w:pPr>
              <w:spacing w:after="0"/>
            </w:pPr>
            <w:r>
              <w:rPr>
                <w:rFonts w:ascii="Arial" w:hAnsi="Arial"/>
                <w:sz w:val="16"/>
              </w:rPr>
              <w:t>Majestätsplural</w:t>
            </w:r>
          </w:p>
        </w:tc>
        <w:tc>
          <w:tcPr>
            <w:tcW w:type="dxa" w:w="3360"/>
          </w:tcPr>
          <w:p>
            <w:pPr>
              <w:spacing w:after="0"/>
            </w:pPr>
            <w:r>
              <w:rPr>
                <w:rFonts w:ascii="Arial" w:hAnsi="Arial"/>
                <w:sz w:val="16"/>
              </w:rPr>
              <w:t>Gott spricht im königlichen Wir.</w:t>
            </w:r>
          </w:p>
        </w:tc>
        <w:tc>
          <w:tcPr>
            <w:tcW w:type="dxa" w:w="3360"/>
          </w:tcPr>
          <w:p>
            <w:pPr>
              <w:spacing w:after="0"/>
            </w:pPr>
            <w:r>
              <w:rPr>
                <w:rFonts w:ascii="Arial" w:hAnsi="Arial"/>
                <w:sz w:val="16"/>
              </w:rPr>
              <w:t>Für Althebräisch oft als weniger wahrscheinlich bewertet.</w:t>
            </w:r>
          </w:p>
        </w:tc>
      </w:tr>
      <w:tr>
        <w:tc>
          <w:tcPr>
            <w:tcW w:type="dxa" w:w="3360"/>
          </w:tcPr>
          <w:p>
            <w:pPr>
              <w:spacing w:after="0"/>
            </w:pPr>
            <w:r>
              <w:rPr>
                <w:rFonts w:ascii="Arial" w:hAnsi="Arial"/>
                <w:sz w:val="16"/>
              </w:rPr>
              <w:t>Selbstberatung</w:t>
            </w:r>
          </w:p>
        </w:tc>
        <w:tc>
          <w:tcPr>
            <w:tcW w:type="dxa" w:w="3360"/>
          </w:tcPr>
          <w:p>
            <w:pPr>
              <w:spacing w:after="0"/>
            </w:pPr>
            <w:r>
              <w:rPr>
                <w:rFonts w:ascii="Arial" w:hAnsi="Arial"/>
                <w:sz w:val="16"/>
              </w:rPr>
              <w:t>Gott deliberiert rhetorisch mit sich selbst.</w:t>
            </w:r>
          </w:p>
        </w:tc>
        <w:tc>
          <w:tcPr>
            <w:tcW w:type="dxa" w:w="3360"/>
          </w:tcPr>
          <w:p>
            <w:pPr>
              <w:spacing w:after="0"/>
            </w:pPr>
            <w:r>
              <w:rPr>
                <w:rFonts w:ascii="Arial" w:hAnsi="Arial"/>
                <w:sz w:val="16"/>
              </w:rPr>
              <w:t>Möglich, aber erklärt die Parallelen zum göttlichen Rat schlechter.</w:t>
            </w:r>
          </w:p>
        </w:tc>
      </w:tr>
      <w:tr>
        <w:tc>
          <w:tcPr>
            <w:tcW w:type="dxa" w:w="3360"/>
          </w:tcPr>
          <w:p>
            <w:pPr>
              <w:spacing w:after="0"/>
            </w:pPr>
            <w:r>
              <w:rPr>
                <w:rFonts w:ascii="Arial" w:hAnsi="Arial"/>
                <w:sz w:val="16"/>
              </w:rPr>
              <w:t>Trinität</w:t>
            </w:r>
          </w:p>
        </w:tc>
        <w:tc>
          <w:tcPr>
            <w:tcW w:type="dxa" w:w="3360"/>
          </w:tcPr>
          <w:p>
            <w:pPr>
              <w:spacing w:after="0"/>
            </w:pPr>
            <w:r>
              <w:rPr>
                <w:rFonts w:ascii="Arial" w:hAnsi="Arial"/>
                <w:sz w:val="16"/>
              </w:rPr>
              <w:t>Christliche Rücklesung auf Vater/Sohn/Geist.</w:t>
            </w:r>
          </w:p>
        </w:tc>
        <w:tc>
          <w:tcPr>
            <w:tcW w:type="dxa" w:w="3360"/>
          </w:tcPr>
          <w:p>
            <w:pPr>
              <w:spacing w:after="0"/>
            </w:pPr>
            <w:r>
              <w:rPr>
                <w:rFonts w:ascii="Arial" w:hAnsi="Arial"/>
                <w:sz w:val="16"/>
              </w:rPr>
              <w:t>Theologisch möglich innerhalb christlicher Dogmatik, historisch für Genesis nicht ursprüngliche Erklärung.</w:t>
            </w:r>
          </w:p>
        </w:tc>
      </w:tr>
    </w:tbl>
    <w:p/>
    <w:p>
      <w:pPr>
        <w:spacing w:after="100"/>
      </w:pPr>
      <w:r>
        <w:rPr>
          <w:rFonts w:ascii="Arial" w:hAnsi="Arial"/>
          <w:b w:val="0"/>
          <w:i w:val="0"/>
          <w:sz w:val="20"/>
        </w:rPr>
        <w:t>Antwort: Die Stelle ist ein starker Hinweis auf göttliche Ratsvorstellungen, aber kein allein ausreichender Beweis, dass mehrere Götter gemeinsam erschaffen. Sie zeigt vor allem, dass die Endgestalt ältere plurale Sprache nicht vollständig beseitigt hat.</w:t>
      </w:r>
    </w:p>
    <w:p>
      <w:pPr>
        <w:pStyle w:val="Heading1"/>
      </w:pPr>
      <w:r>
        <w:t>5. Noah, Sintflut und der zweite Menschheitsursprung</w:t>
      </w:r>
    </w:p>
    <w:p>
      <w:pPr>
        <w:spacing w:after="100"/>
      </w:pPr>
      <w:r>
        <w:rPr>
          <w:rFonts w:ascii="Arial" w:hAnsi="Arial"/>
          <w:b w:val="0"/>
          <w:i w:val="0"/>
          <w:sz w:val="20"/>
        </w:rPr>
        <w:t>Wenn die Sintflut wörtlich gelesen wird, ist Noah tatsächlich der neue Ursprung der gesamten Menschheit. Genesis 10,32 sagt, dass sich von den Söhnen Noahs die Völker nach der Sintflut verbreiteten; die lokale Datei 1_Mose.docx enthält diesen Befund ausdrücklich. Die Bibel macht daraus aber kein genetisches Problem, sondern ein theologisches Bundmodell.</w:t>
      </w:r>
    </w:p>
    <w:p>
      <w:pPr>
        <w:spacing w:after="100"/>
      </w:pPr>
      <w:r>
        <w:rPr>
          <w:rFonts w:ascii="Arial" w:hAnsi="Arial"/>
          <w:b w:val="0"/>
          <w:i w:val="0"/>
          <w:sz w:val="20"/>
        </w:rPr>
        <w:t>Antwort: Noah ist im biblischen Text ein zweiter Adam. Der Unterschied ist: Adam steht am Ursprung der Schöpfung; Noah steht am Ursprung der erneuerten, aber bereits beschädigten Welt. Nach Noah wird Fleischverzehr erlaubt, Gewalt bleibt möglich, und die Völkerordnung entsteht neu.</w:t>
      </w:r>
    </w:p>
    <w:tbl>
      <w:tblPr>
        <w:tblStyle w:val="TableGrid"/>
        <w:tblW w:type="auto" w:w="0"/>
        <w:tblLook w:firstColumn="1" w:firstRow="1" w:lastColumn="0" w:lastRow="0" w:noHBand="0" w:noVBand="1" w:val="04A0"/>
      </w:tblPr>
      <w:tblGrid>
        <w:gridCol w:w="3360"/>
        <w:gridCol w:w="3360"/>
        <w:gridCol w:w="3360"/>
      </w:tblGrid>
      <w:tr>
        <w:tc>
          <w:tcPr>
            <w:tcW w:type="dxa" w:w="3360"/>
          </w:tcPr>
          <w:p>
            <w:r>
              <w:rPr>
                <w:rFonts w:ascii="Arial" w:hAnsi="Arial"/>
                <w:b/>
                <w:sz w:val="17"/>
              </w:rPr>
              <w:t>Beobachtung</w:t>
            </w:r>
          </w:p>
        </w:tc>
        <w:tc>
          <w:tcPr>
            <w:tcW w:type="dxa" w:w="3360"/>
          </w:tcPr>
          <w:p>
            <w:r>
              <w:rPr>
                <w:rFonts w:ascii="Arial" w:hAnsi="Arial"/>
                <w:b/>
                <w:sz w:val="17"/>
              </w:rPr>
              <w:t>Antwort</w:t>
            </w:r>
          </w:p>
        </w:tc>
        <w:tc>
          <w:tcPr>
            <w:tcW w:type="dxa" w:w="3360"/>
          </w:tcPr>
          <w:p>
            <w:r>
              <w:rPr>
                <w:rFonts w:ascii="Arial" w:hAnsi="Arial"/>
                <w:b/>
                <w:sz w:val="17"/>
              </w:rPr>
              <w:t>Folgeproblem</w:t>
            </w:r>
          </w:p>
        </w:tc>
      </w:tr>
      <w:tr>
        <w:tc>
          <w:tcPr>
            <w:tcW w:type="dxa" w:w="3360"/>
          </w:tcPr>
          <w:p>
            <w:pPr>
              <w:spacing w:after="0"/>
            </w:pPr>
            <w:r>
              <w:rPr>
                <w:rFonts w:ascii="Arial" w:hAnsi="Arial"/>
                <w:sz w:val="16"/>
              </w:rPr>
              <w:t>Nur acht Überlebende</w:t>
            </w:r>
          </w:p>
        </w:tc>
        <w:tc>
          <w:tcPr>
            <w:tcW w:type="dxa" w:w="3360"/>
          </w:tcPr>
          <w:p>
            <w:pPr>
              <w:spacing w:after="0"/>
            </w:pPr>
            <w:r>
              <w:rPr>
                <w:rFonts w:ascii="Arial" w:hAnsi="Arial"/>
                <w:sz w:val="16"/>
              </w:rPr>
              <w:t>Theologisch: bewahrter Rest.</w:t>
            </w:r>
          </w:p>
        </w:tc>
        <w:tc>
          <w:tcPr>
            <w:tcW w:type="dxa" w:w="3360"/>
          </w:tcPr>
          <w:p>
            <w:pPr>
              <w:spacing w:after="0"/>
            </w:pPr>
            <w:r>
              <w:rPr>
                <w:rFonts w:ascii="Arial" w:hAnsi="Arial"/>
                <w:sz w:val="16"/>
              </w:rPr>
              <w:t>Biologisch/genetisch keine plausible Erklärung für heutige Menschheit.</w:t>
            </w:r>
          </w:p>
        </w:tc>
      </w:tr>
      <w:tr>
        <w:tc>
          <w:tcPr>
            <w:tcW w:type="dxa" w:w="3360"/>
          </w:tcPr>
          <w:p>
            <w:pPr>
              <w:spacing w:after="0"/>
            </w:pPr>
            <w:r>
              <w:rPr>
                <w:rFonts w:ascii="Arial" w:hAnsi="Arial"/>
                <w:sz w:val="16"/>
              </w:rPr>
              <w:t>Noahs Söhne und Frauen</w:t>
            </w:r>
          </w:p>
        </w:tc>
        <w:tc>
          <w:tcPr>
            <w:tcW w:type="dxa" w:w="3360"/>
          </w:tcPr>
          <w:p>
            <w:pPr>
              <w:spacing w:after="0"/>
            </w:pPr>
            <w:r>
              <w:rPr>
                <w:rFonts w:ascii="Arial" w:hAnsi="Arial"/>
                <w:sz w:val="16"/>
              </w:rPr>
              <w:t>Erzählung setzt Fortpflanzung voraus, ohne Inzestproblem zu thematisieren.</w:t>
            </w:r>
          </w:p>
        </w:tc>
        <w:tc>
          <w:tcPr>
            <w:tcW w:type="dxa" w:w="3360"/>
          </w:tcPr>
          <w:p>
            <w:pPr>
              <w:spacing w:after="0"/>
            </w:pPr>
            <w:r>
              <w:rPr>
                <w:rFonts w:ascii="Arial" w:hAnsi="Arial"/>
                <w:sz w:val="16"/>
              </w:rPr>
              <w:t>Spätere Inzestgesetze werden nicht rückwirkend diskutiert.</w:t>
            </w:r>
          </w:p>
        </w:tc>
      </w:tr>
      <w:tr>
        <w:tc>
          <w:tcPr>
            <w:tcW w:type="dxa" w:w="3360"/>
          </w:tcPr>
          <w:p>
            <w:pPr>
              <w:spacing w:after="0"/>
            </w:pPr>
            <w:r>
              <w:rPr>
                <w:rFonts w:ascii="Arial" w:hAnsi="Arial"/>
                <w:sz w:val="16"/>
              </w:rPr>
              <w:t>Bund mit Noah</w:t>
            </w:r>
          </w:p>
        </w:tc>
        <w:tc>
          <w:tcPr>
            <w:tcW w:type="dxa" w:w="3360"/>
          </w:tcPr>
          <w:p>
            <w:pPr>
              <w:spacing w:after="0"/>
            </w:pPr>
            <w:r>
              <w:rPr>
                <w:rFonts w:ascii="Arial" w:hAnsi="Arial"/>
                <w:sz w:val="16"/>
              </w:rPr>
              <w:t>Gott verspricht keine weitere totale Flut.</w:t>
            </w:r>
          </w:p>
        </w:tc>
        <w:tc>
          <w:tcPr>
            <w:tcW w:type="dxa" w:w="3360"/>
          </w:tcPr>
          <w:p>
            <w:pPr>
              <w:spacing w:after="0"/>
            </w:pPr>
            <w:r>
              <w:rPr>
                <w:rFonts w:ascii="Arial" w:hAnsi="Arial"/>
                <w:sz w:val="16"/>
              </w:rPr>
              <w:t>Das Gewaltproblem wird nicht gelöst, nur begrenzt.</w:t>
            </w:r>
          </w:p>
        </w:tc>
      </w:tr>
      <w:tr>
        <w:tc>
          <w:tcPr>
            <w:tcW w:type="dxa" w:w="3360"/>
          </w:tcPr>
          <w:p>
            <w:pPr>
              <w:spacing w:after="0"/>
            </w:pPr>
            <w:r>
              <w:rPr>
                <w:rFonts w:ascii="Arial" w:hAnsi="Arial"/>
                <w:sz w:val="16"/>
              </w:rPr>
              <w:t>Fleischverzehr Gen 9,3</w:t>
            </w:r>
          </w:p>
        </w:tc>
        <w:tc>
          <w:tcPr>
            <w:tcW w:type="dxa" w:w="3360"/>
          </w:tcPr>
          <w:p>
            <w:pPr>
              <w:spacing w:after="0"/>
            </w:pPr>
            <w:r>
              <w:rPr>
                <w:rFonts w:ascii="Arial" w:hAnsi="Arial"/>
                <w:sz w:val="16"/>
              </w:rPr>
              <w:t>Neue Erlaubnis nach der Flut.</w:t>
            </w:r>
          </w:p>
        </w:tc>
        <w:tc>
          <w:tcPr>
            <w:tcW w:type="dxa" w:w="3360"/>
          </w:tcPr>
          <w:p>
            <w:pPr>
              <w:spacing w:after="0"/>
            </w:pPr>
            <w:r>
              <w:rPr>
                <w:rFonts w:ascii="Arial" w:hAnsi="Arial"/>
                <w:sz w:val="16"/>
              </w:rPr>
              <w:t>Bruch mit Gen 1,29-30 als vegetarisch wirkender Idealordnung.</w:t>
            </w:r>
          </w:p>
        </w:tc>
      </w:tr>
    </w:tbl>
    <w:p/>
    <w:p>
      <w:pPr>
        <w:spacing w:after="100"/>
      </w:pPr>
      <w:r>
        <w:rPr>
          <w:rFonts w:ascii="Arial" w:hAnsi="Arial"/>
          <w:b w:val="0"/>
          <w:i w:val="0"/>
          <w:sz w:val="20"/>
        </w:rPr>
        <w:t>Wichtig für deine Allwissenheitsfrage: Genesis 6,6-7 beschreibt Gott anthropopathisch, also mit menschlichen Affekten: Reue, Schmerz, Zorn. Das passt schlecht zu späterer philosophischer Unveränderlichkeit Gottes, aber gut zu älteren erzählenden Gottesbildern.</w:t>
      </w:r>
    </w:p>
    <w:p>
      <w:pPr>
        <w:pStyle w:val="Heading1"/>
      </w:pPr>
      <w:r>
        <w:t>6. Völkertafel und Babel</w:t>
      </w:r>
    </w:p>
    <w:p>
      <w:pPr>
        <w:spacing w:after="100"/>
      </w:pPr>
      <w:r>
        <w:rPr>
          <w:rFonts w:ascii="Arial" w:hAnsi="Arial"/>
          <w:b w:val="0"/>
          <w:i w:val="0"/>
          <w:sz w:val="20"/>
        </w:rPr>
        <w:t>Genesis 10 ist keine moderne Karte aller Kontinente. Sie ordnet die dem antiken Israel bekannte Welt in verwandtschaftliche Gruppen. Genesis 11 ergänzt diese Ordnung durch eine Ätiologie der Sprachen und der Zerstreuung.</w:t>
      </w:r>
    </w:p>
    <w:p>
      <w:pPr>
        <w:spacing w:after="100"/>
      </w:pPr>
      <w:r>
        <w:rPr>
          <w:rFonts w:ascii="Arial" w:hAnsi="Arial"/>
          <w:b w:val="0"/>
          <w:i w:val="0"/>
          <w:sz w:val="20"/>
        </w:rPr>
        <w:t>Antwort: Die Bibel erklärt 'alle Völker' nicht aus globalhistorischer Kenntnis, sondern aus einem antiken nahöstlichen Weltbild. Sem, Ham und Jafet strukturieren die bekannte Völkerwelt. Diese Struktur bereitet zugleich die Sonderlinie Sem-Abraham-Israel vor.</w:t>
      </w:r>
    </w:p>
    <w:p>
      <w:pPr>
        <w:spacing w:after="100"/>
      </w:pPr>
      <w:r>
        <w:rPr>
          <w:rFonts w:ascii="Arial" w:hAnsi="Arial"/>
          <w:b w:val="0"/>
          <w:i w:val="0"/>
          <w:sz w:val="20"/>
        </w:rPr>
        <w:t>Für unser Hauptthema ist hier Dtn 32,8-9 zentral: In älterer Lesart verteilt Elyon die Völker nach der Zahl der Söhne Gottes, während JHWH Israel erhält. Das kann als ältere Völker- und Götterordnung gelesen werden, in der Israel einen spezifischen göttlichen Patron hat.</w:t>
      </w:r>
    </w:p>
    <w:p>
      <w:pPr>
        <w:pStyle w:val="Heading1"/>
      </w:pPr>
      <w:r>
        <w:t>7. Vor Mose/Sinai: El Schaddai, JHWH und Traditionsspannung</w:t>
      </w:r>
    </w:p>
    <w:p>
      <w:pPr>
        <w:spacing w:after="100"/>
      </w:pPr>
      <w:r>
        <w:rPr>
          <w:rFonts w:ascii="Arial" w:hAnsi="Arial"/>
          <w:b w:val="0"/>
          <w:i w:val="0"/>
          <w:sz w:val="20"/>
        </w:rPr>
        <w:t>Exodus 6,3 ist einer der stärksten Belege für eine Spannung im Pentateuch. Einerseits benutzt Genesis den Namen JHWH bereits in Patriarchenerzählungen. Andererseits sagt Ex 6,3, die Väter hätten Gott als El Schaddai gekannt, nicht unter JHWH. Die NET-Bible-Notizen zeigen, dass diese Stelle grammatisch und theologisch intensiv diskutiert wird.</w:t>
      </w:r>
    </w:p>
    <w:p>
      <w:pPr>
        <w:spacing w:after="100"/>
      </w:pPr>
      <w:r>
        <w:rPr>
          <w:rFonts w:ascii="Arial" w:hAnsi="Arial"/>
          <w:b w:val="0"/>
          <w:i w:val="0"/>
          <w:sz w:val="20"/>
        </w:rPr>
        <w:t>Antwort: Es gibt zwei tragfähige Ebenen. Kanonisch kann man sagen: Derselbe Gott offenbart Mose die tiefere Bedeutung seines Namens. Historisch-kritisch ist plausibel: verschiedene Traditionen wurden kombiniert, und eine Tradition setzte JHWHs entscheidende Offenbarung erst mit Mose an.</w:t>
      </w:r>
    </w:p>
    <w:tbl>
      <w:tblPr>
        <w:tblStyle w:val="TableGrid"/>
        <w:tblW w:type="auto" w:w="0"/>
        <w:tblLook w:firstColumn="1" w:firstRow="1" w:lastColumn="0" w:lastRow="0" w:noHBand="0" w:noVBand="1" w:val="04A0"/>
      </w:tblPr>
      <w:tblGrid>
        <w:gridCol w:w="5040"/>
        <w:gridCol w:w="5040"/>
      </w:tblGrid>
      <w:tr>
        <w:tc>
          <w:tcPr>
            <w:tcW w:type="dxa" w:w="5040"/>
          </w:tcPr>
          <w:p>
            <w:r>
              <w:rPr>
                <w:rFonts w:ascii="Arial" w:hAnsi="Arial"/>
                <w:b/>
                <w:sz w:val="17"/>
              </w:rPr>
              <w:t>Ebene</w:t>
            </w:r>
          </w:p>
        </w:tc>
        <w:tc>
          <w:tcPr>
            <w:tcW w:type="dxa" w:w="5040"/>
          </w:tcPr>
          <w:p>
            <w:r>
              <w:rPr>
                <w:rFonts w:ascii="Arial" w:hAnsi="Arial"/>
                <w:b/>
                <w:sz w:val="17"/>
              </w:rPr>
              <w:t>Ergebnis</w:t>
            </w:r>
          </w:p>
        </w:tc>
      </w:tr>
      <w:tr>
        <w:tc>
          <w:tcPr>
            <w:tcW w:type="dxa" w:w="5040"/>
          </w:tcPr>
          <w:p>
            <w:pPr>
              <w:spacing w:after="0"/>
            </w:pPr>
            <w:r>
              <w:rPr>
                <w:rFonts w:ascii="Arial" w:hAnsi="Arial"/>
                <w:sz w:val="16"/>
              </w:rPr>
              <w:t>Textlich</w:t>
            </w:r>
          </w:p>
        </w:tc>
        <w:tc>
          <w:tcPr>
            <w:tcW w:type="dxa" w:w="5040"/>
          </w:tcPr>
          <w:p>
            <w:pPr>
              <w:spacing w:after="0"/>
            </w:pPr>
            <w:r>
              <w:rPr>
                <w:rFonts w:ascii="Arial" w:hAnsi="Arial"/>
                <w:sz w:val="16"/>
              </w:rPr>
              <w:t>Ex 6,3 steht in Spannung zu Genesisstellen, in denen JHWH schon vorkommt.</w:t>
            </w:r>
          </w:p>
        </w:tc>
      </w:tr>
      <w:tr>
        <w:tc>
          <w:tcPr>
            <w:tcW w:type="dxa" w:w="5040"/>
          </w:tcPr>
          <w:p>
            <w:pPr>
              <w:spacing w:after="0"/>
            </w:pPr>
            <w:r>
              <w:rPr>
                <w:rFonts w:ascii="Arial" w:hAnsi="Arial"/>
                <w:sz w:val="16"/>
              </w:rPr>
              <w:t>Quellenkritisch</w:t>
            </w:r>
          </w:p>
        </w:tc>
        <w:tc>
          <w:tcPr>
            <w:tcW w:type="dxa" w:w="5040"/>
          </w:tcPr>
          <w:p>
            <w:pPr>
              <w:spacing w:after="0"/>
            </w:pPr>
            <w:r>
              <w:rPr>
                <w:rFonts w:ascii="Arial" w:hAnsi="Arial"/>
                <w:sz w:val="16"/>
              </w:rPr>
              <w:t>J/P bzw. verwandte Traditionsmodelle erklären verschiedene Gottesnamen und Offenbarungszeitpunkte.</w:t>
            </w:r>
          </w:p>
        </w:tc>
      </w:tr>
      <w:tr>
        <w:tc>
          <w:tcPr>
            <w:tcW w:type="dxa" w:w="5040"/>
          </w:tcPr>
          <w:p>
            <w:pPr>
              <w:spacing w:after="0"/>
            </w:pPr>
            <w:r>
              <w:rPr>
                <w:rFonts w:ascii="Arial" w:hAnsi="Arial"/>
                <w:sz w:val="16"/>
              </w:rPr>
              <w:t>Religionsgeschichtlich</w:t>
            </w:r>
          </w:p>
        </w:tc>
        <w:tc>
          <w:tcPr>
            <w:tcW w:type="dxa" w:w="5040"/>
          </w:tcPr>
          <w:p>
            <w:pPr>
              <w:spacing w:after="0"/>
            </w:pPr>
            <w:r>
              <w:rPr>
                <w:rFonts w:ascii="Arial" w:hAnsi="Arial"/>
                <w:sz w:val="16"/>
              </w:rPr>
              <w:t>Frühe Israeliten standen wahrscheinlich in El-, Familiengott- und kanaanäischen Kulttraditionen; JHWH wurde später mit El identifiziert.</w:t>
            </w:r>
          </w:p>
        </w:tc>
      </w:tr>
      <w:tr>
        <w:tc>
          <w:tcPr>
            <w:tcW w:type="dxa" w:w="5040"/>
          </w:tcPr>
          <w:p>
            <w:pPr>
              <w:spacing w:after="0"/>
            </w:pPr>
            <w:r>
              <w:rPr>
                <w:rFonts w:ascii="Arial" w:hAnsi="Arial"/>
                <w:sz w:val="16"/>
              </w:rPr>
              <w:t>Für Hauptthese</w:t>
            </w:r>
          </w:p>
        </w:tc>
        <w:tc>
          <w:tcPr>
            <w:tcW w:type="dxa" w:w="5040"/>
          </w:tcPr>
          <w:p>
            <w:pPr>
              <w:spacing w:after="0"/>
            </w:pPr>
            <w:r>
              <w:rPr>
                <w:rFonts w:ascii="Arial" w:hAnsi="Arial"/>
                <w:sz w:val="16"/>
              </w:rPr>
              <w:t>El -&gt; JHWH ist eine der stärksten prüfbaren Linien für Namens-/Funktionsverschmelzung.</w:t>
            </w:r>
          </w:p>
        </w:tc>
      </w:tr>
    </w:tbl>
    <w:p/>
    <w:p>
      <w:pPr>
        <w:pStyle w:val="Heading1"/>
      </w:pPr>
      <w:r>
        <w:t>8. Dekalog: Warum sind die zweiten Tafeln anders?</w:t>
      </w:r>
    </w:p>
    <w:p>
      <w:pPr>
        <w:spacing w:after="100"/>
      </w:pPr>
      <w:r>
        <w:rPr>
          <w:rFonts w:ascii="Arial" w:hAnsi="Arial"/>
          <w:b w:val="0"/>
          <w:i w:val="0"/>
          <w:sz w:val="20"/>
        </w:rPr>
        <w:t>Die kurze Antwort: Weil Exodus 34 wahrscheinlich eine andere Zehn-Worte-Tradition bewahrt als Exodus 20 und Deuteronomium 5. Ex 34,28 spricht von 'zehn Worten', aber der unmittelbar vorausgehende Inhalt ist kultisch-rituell, nicht identisch mit dem bekannten ethischen Dekalog.</w:t>
      </w:r>
    </w:p>
    <w:tbl>
      <w:tblPr>
        <w:tblStyle w:val="TableGrid"/>
        <w:tblW w:type="auto" w:w="0"/>
        <w:tblLook w:firstColumn="1" w:firstRow="1" w:lastColumn="0" w:lastRow="0" w:noHBand="0" w:noVBand="1" w:val="04A0"/>
      </w:tblPr>
      <w:tblGrid>
        <w:gridCol w:w="3360"/>
        <w:gridCol w:w="3360"/>
        <w:gridCol w:w="3360"/>
      </w:tblGrid>
      <w:tr>
        <w:tc>
          <w:tcPr>
            <w:tcW w:type="dxa" w:w="3360"/>
          </w:tcPr>
          <w:p>
            <w:r>
              <w:rPr>
                <w:rFonts w:ascii="Arial" w:hAnsi="Arial"/>
                <w:b/>
                <w:sz w:val="17"/>
              </w:rPr>
              <w:t>Text</w:t>
            </w:r>
          </w:p>
        </w:tc>
        <w:tc>
          <w:tcPr>
            <w:tcW w:type="dxa" w:w="3360"/>
          </w:tcPr>
          <w:p>
            <w:r>
              <w:rPr>
                <w:rFonts w:ascii="Arial" w:hAnsi="Arial"/>
                <w:b/>
                <w:sz w:val="17"/>
              </w:rPr>
              <w:t>Inhalt</w:t>
            </w:r>
          </w:p>
        </w:tc>
        <w:tc>
          <w:tcPr>
            <w:tcW w:type="dxa" w:w="3360"/>
          </w:tcPr>
          <w:p>
            <w:r>
              <w:rPr>
                <w:rFonts w:ascii="Arial" w:hAnsi="Arial"/>
                <w:b/>
                <w:sz w:val="17"/>
              </w:rPr>
              <w:t>Funktion</w:t>
            </w:r>
          </w:p>
        </w:tc>
      </w:tr>
      <w:tr>
        <w:tc>
          <w:tcPr>
            <w:tcW w:type="dxa" w:w="3360"/>
          </w:tcPr>
          <w:p>
            <w:pPr>
              <w:spacing w:after="0"/>
            </w:pPr>
            <w:r>
              <w:rPr>
                <w:rFonts w:ascii="Arial" w:hAnsi="Arial"/>
                <w:sz w:val="16"/>
              </w:rPr>
              <w:t>Exodus 20,2-17</w:t>
            </w:r>
          </w:p>
        </w:tc>
        <w:tc>
          <w:tcPr>
            <w:tcW w:type="dxa" w:w="3360"/>
          </w:tcPr>
          <w:p>
            <w:pPr>
              <w:spacing w:after="0"/>
            </w:pPr>
            <w:r>
              <w:rPr>
                <w:rFonts w:ascii="Arial" w:hAnsi="Arial"/>
                <w:sz w:val="16"/>
              </w:rPr>
              <w:t>Bekannter Dekalog: Gottestreue, Bilderverbot, Sabbat, Eltern, Mord, Ehebruch, Diebstahl, Falschaussage, Begehren.</w:t>
            </w:r>
          </w:p>
        </w:tc>
        <w:tc>
          <w:tcPr>
            <w:tcW w:type="dxa" w:w="3360"/>
          </w:tcPr>
          <w:p>
            <w:pPr>
              <w:spacing w:after="0"/>
            </w:pPr>
            <w:r>
              <w:rPr>
                <w:rFonts w:ascii="Arial" w:hAnsi="Arial"/>
                <w:sz w:val="16"/>
              </w:rPr>
              <w:t>Grundgesetz des Bundes; direkt von JHWH gesprochen.</w:t>
            </w:r>
          </w:p>
        </w:tc>
      </w:tr>
      <w:tr>
        <w:tc>
          <w:tcPr>
            <w:tcW w:type="dxa" w:w="3360"/>
          </w:tcPr>
          <w:p>
            <w:pPr>
              <w:spacing w:after="0"/>
            </w:pPr>
            <w:r>
              <w:rPr>
                <w:rFonts w:ascii="Arial" w:hAnsi="Arial"/>
                <w:sz w:val="16"/>
              </w:rPr>
              <w:t>Deuteronomium 5,6-21</w:t>
            </w:r>
          </w:p>
        </w:tc>
        <w:tc>
          <w:tcPr>
            <w:tcW w:type="dxa" w:w="3360"/>
          </w:tcPr>
          <w:p>
            <w:pPr>
              <w:spacing w:after="0"/>
            </w:pPr>
            <w:r>
              <w:rPr>
                <w:rFonts w:ascii="Arial" w:hAnsi="Arial"/>
                <w:sz w:val="16"/>
              </w:rPr>
              <w:t>Sehr ähnlich, aber mit Unterschieden, besonders Sabbatbegründung: Exodus mit Schöpfung, Deuteronomium mit Befreiung aus Ägypten.</w:t>
            </w:r>
          </w:p>
        </w:tc>
        <w:tc>
          <w:tcPr>
            <w:tcW w:type="dxa" w:w="3360"/>
          </w:tcPr>
          <w:p>
            <w:pPr>
              <w:spacing w:after="0"/>
            </w:pPr>
            <w:r>
              <w:rPr>
                <w:rFonts w:ascii="Arial" w:hAnsi="Arial"/>
                <w:sz w:val="16"/>
              </w:rPr>
              <w:t>Retrospektive deuteronomische Bundesrede.</w:t>
            </w:r>
          </w:p>
        </w:tc>
      </w:tr>
      <w:tr>
        <w:tc>
          <w:tcPr>
            <w:tcW w:type="dxa" w:w="3360"/>
          </w:tcPr>
          <w:p>
            <w:pPr>
              <w:spacing w:after="0"/>
            </w:pPr>
            <w:r>
              <w:rPr>
                <w:rFonts w:ascii="Arial" w:hAnsi="Arial"/>
                <w:sz w:val="16"/>
              </w:rPr>
              <w:t>Exodus 34,11-26</w:t>
            </w:r>
          </w:p>
        </w:tc>
        <w:tc>
          <w:tcPr>
            <w:tcW w:type="dxa" w:w="3360"/>
          </w:tcPr>
          <w:p>
            <w:pPr>
              <w:spacing w:after="0"/>
            </w:pPr>
            <w:r>
              <w:rPr>
                <w:rFonts w:ascii="Arial" w:hAnsi="Arial"/>
                <w:sz w:val="16"/>
              </w:rPr>
              <w:t>Ritualdekalog: Kultreinheit, Feste, Erstgeburt, Sabbat, Opferregeln, keine fremden Bündnisse.</w:t>
            </w:r>
          </w:p>
        </w:tc>
        <w:tc>
          <w:tcPr>
            <w:tcW w:type="dxa" w:w="3360"/>
          </w:tcPr>
          <w:p>
            <w:pPr>
              <w:spacing w:after="0"/>
            </w:pPr>
            <w:r>
              <w:rPr>
                <w:rFonts w:ascii="Arial" w:hAnsi="Arial"/>
                <w:sz w:val="16"/>
              </w:rPr>
              <w:t>Kultische Bundesbestimmungen nach dem Goldenen Kalb.</w:t>
            </w:r>
          </w:p>
        </w:tc>
      </w:tr>
    </w:tbl>
    <w:p/>
    <w:p>
      <w:pPr>
        <w:spacing w:after="100"/>
      </w:pPr>
      <w:r>
        <w:rPr>
          <w:rFonts w:ascii="Arial" w:hAnsi="Arial"/>
          <w:b w:val="0"/>
          <w:i w:val="0"/>
          <w:sz w:val="20"/>
        </w:rPr>
        <w:t>Antwort: Aus harmonisierender Sicht schrieb Gott dieselben Worte erneut auf die Tafeln und Ex 34 enthält zusätzliche Bestimmungen. Aus historisch-kritischer Sicht ist Ex 34 ein eigenständiger Ritualdekalog, der redaktionell mit der Sinaigeschichte verbunden wurde. Für unser Projekt ist die zweite Erklärung methodisch stärker, weil sie die Textdifferenz erklärt, statt sie zu überdecken.</w:t>
      </w:r>
    </w:p>
    <w:p>
      <w:pPr>
        <w:pStyle w:val="Heading1"/>
      </w:pPr>
      <w:r>
        <w:t>9. Zwei Schöpfungsgeschichten: Warum beide?</w:t>
      </w:r>
    </w:p>
    <w:p>
      <w:pPr>
        <w:spacing w:after="100"/>
      </w:pPr>
      <w:r>
        <w:rPr>
          <w:rFonts w:ascii="Arial" w:hAnsi="Arial"/>
          <w:b w:val="0"/>
          <w:i w:val="0"/>
          <w:sz w:val="20"/>
        </w:rPr>
        <w:t>Die Erklärung 'Weltschöpfung' versus 'Menschenschöpfung' ist teilweise richtig, aber zu knapp. Genesis 1 ist kosmisch, geordnet, priesterlich, sabbatorientiert. Genesis 2-3 ist erdnah, erzählend, anthropologisch und erklärt Gartenverlust, Arbeit, Sterblichkeit und Schuld.</w:t>
      </w:r>
    </w:p>
    <w:tbl>
      <w:tblPr>
        <w:tblStyle w:val="TableGrid"/>
        <w:tblW w:type="auto" w:w="0"/>
        <w:tblLook w:firstColumn="1" w:firstRow="1" w:lastColumn="0" w:lastRow="0" w:noHBand="0" w:noVBand="1" w:val="04A0"/>
      </w:tblPr>
      <w:tblGrid>
        <w:gridCol w:w="5040"/>
        <w:gridCol w:w="5040"/>
      </w:tblGrid>
      <w:tr>
        <w:tc>
          <w:tcPr>
            <w:tcW w:type="dxa" w:w="5040"/>
          </w:tcPr>
          <w:p>
            <w:r>
              <w:rPr>
                <w:rFonts w:ascii="Arial" w:hAnsi="Arial"/>
                <w:b/>
                <w:sz w:val="17"/>
              </w:rPr>
              <w:t>Frage</w:t>
            </w:r>
          </w:p>
        </w:tc>
        <w:tc>
          <w:tcPr>
            <w:tcW w:type="dxa" w:w="5040"/>
          </w:tcPr>
          <w:p>
            <w:r>
              <w:rPr>
                <w:rFonts w:ascii="Arial" w:hAnsi="Arial"/>
                <w:b/>
                <w:sz w:val="17"/>
              </w:rPr>
              <w:t>Antwort</w:t>
            </w:r>
          </w:p>
        </w:tc>
      </w:tr>
      <w:tr>
        <w:tc>
          <w:tcPr>
            <w:tcW w:type="dxa" w:w="5040"/>
          </w:tcPr>
          <w:p>
            <w:pPr>
              <w:spacing w:after="0"/>
            </w:pPr>
            <w:r>
              <w:rPr>
                <w:rFonts w:ascii="Arial" w:hAnsi="Arial"/>
                <w:sz w:val="16"/>
              </w:rPr>
              <w:t>Warum abweichende Reihenfolge?</w:t>
            </w:r>
          </w:p>
        </w:tc>
        <w:tc>
          <w:tcPr>
            <w:tcW w:type="dxa" w:w="5040"/>
          </w:tcPr>
          <w:p>
            <w:pPr>
              <w:spacing w:after="0"/>
            </w:pPr>
            <w:r>
              <w:rPr>
                <w:rFonts w:ascii="Arial" w:hAnsi="Arial"/>
                <w:sz w:val="16"/>
              </w:rPr>
              <w:t>Weil zwei Traditionen mit unterschiedlichem Fokus kombiniert wurden: Gen 1 ordnet den Kosmos, Gen 2 erzählt vom Menschen im Garten.</w:t>
            </w:r>
          </w:p>
        </w:tc>
      </w:tr>
      <w:tr>
        <w:tc>
          <w:tcPr>
            <w:tcW w:type="dxa" w:w="5040"/>
          </w:tcPr>
          <w:p>
            <w:pPr>
              <w:spacing w:after="0"/>
            </w:pPr>
            <w:r>
              <w:rPr>
                <w:rFonts w:ascii="Arial" w:hAnsi="Arial"/>
                <w:sz w:val="16"/>
              </w:rPr>
              <w:t>Warum trotzdem beide?</w:t>
            </w:r>
          </w:p>
        </w:tc>
        <w:tc>
          <w:tcPr>
            <w:tcW w:type="dxa" w:w="5040"/>
          </w:tcPr>
          <w:p>
            <w:pPr>
              <w:spacing w:after="0"/>
            </w:pPr>
            <w:r>
              <w:rPr>
                <w:rFonts w:ascii="Arial" w:hAnsi="Arial"/>
                <w:sz w:val="16"/>
              </w:rPr>
              <w:t>Die Endredaktion bewahrte beide, weil sie unterschiedliche theologische Funktionen erfüllen.</w:t>
            </w:r>
          </w:p>
        </w:tc>
      </w:tr>
      <w:tr>
        <w:tc>
          <w:tcPr>
            <w:tcW w:type="dxa" w:w="5040"/>
          </w:tcPr>
          <w:p>
            <w:pPr>
              <w:spacing w:after="0"/>
            </w:pPr>
            <w:r>
              <w:rPr>
                <w:rFonts w:ascii="Arial" w:hAnsi="Arial"/>
                <w:sz w:val="16"/>
              </w:rPr>
              <w:t>Warum sieben Tage?</w:t>
            </w:r>
          </w:p>
        </w:tc>
        <w:tc>
          <w:tcPr>
            <w:tcW w:type="dxa" w:w="5040"/>
          </w:tcPr>
          <w:p>
            <w:pPr>
              <w:spacing w:after="0"/>
            </w:pPr>
            <w:r>
              <w:rPr>
                <w:rFonts w:ascii="Arial" w:hAnsi="Arial"/>
                <w:sz w:val="16"/>
              </w:rPr>
              <w:t>Liturgische Ordnung und Sabbatbegründung, keine technische Begrenzung Gottes.</w:t>
            </w:r>
          </w:p>
        </w:tc>
      </w:tr>
      <w:tr>
        <w:tc>
          <w:tcPr>
            <w:tcW w:type="dxa" w:w="5040"/>
          </w:tcPr>
          <w:p>
            <w:pPr>
              <w:spacing w:after="0"/>
            </w:pPr>
            <w:r>
              <w:rPr>
                <w:rFonts w:ascii="Arial" w:hAnsi="Arial"/>
                <w:sz w:val="16"/>
              </w:rPr>
              <w:t>Warum ruht Gott?</w:t>
            </w:r>
          </w:p>
        </w:tc>
        <w:tc>
          <w:tcPr>
            <w:tcW w:type="dxa" w:w="5040"/>
          </w:tcPr>
          <w:p>
            <w:pPr>
              <w:spacing w:after="0"/>
            </w:pPr>
            <w:r>
              <w:rPr>
                <w:rFonts w:ascii="Arial" w:hAnsi="Arial"/>
                <w:sz w:val="16"/>
              </w:rPr>
              <w:t>Ruhe bedeutet Vollendung, Heiligung der Zeit und göttliche Herrschaftsaufnahme; nicht Erschöpfung.</w:t>
            </w:r>
          </w:p>
        </w:tc>
      </w:tr>
      <w:tr>
        <w:tc>
          <w:tcPr>
            <w:tcW w:type="dxa" w:w="5040"/>
          </w:tcPr>
          <w:p>
            <w:pPr>
              <w:spacing w:after="0"/>
            </w:pPr>
            <w:r>
              <w:rPr>
                <w:rFonts w:ascii="Arial" w:hAnsi="Arial"/>
                <w:sz w:val="16"/>
              </w:rPr>
              <w:t>Warum Adam als Bauer/Hüter?</w:t>
            </w:r>
          </w:p>
        </w:tc>
        <w:tc>
          <w:tcPr>
            <w:tcW w:type="dxa" w:w="5040"/>
          </w:tcPr>
          <w:p>
            <w:pPr>
              <w:spacing w:after="0"/>
            </w:pPr>
            <w:r>
              <w:rPr>
                <w:rFonts w:ascii="Arial" w:hAnsi="Arial"/>
                <w:sz w:val="16"/>
              </w:rPr>
              <w:t>Gen 2,15 beschreibt den Menschen als Bearbeiter und Bewahrer des Gartens; das relativiert reine Herrschaftssprache aus Gen 1.</w:t>
            </w:r>
          </w:p>
        </w:tc>
      </w:tr>
    </w:tbl>
    <w:p/>
    <w:p>
      <w:pPr>
        <w:spacing w:after="100"/>
      </w:pPr>
      <w:r>
        <w:rPr>
          <w:rFonts w:ascii="Arial" w:hAnsi="Arial"/>
          <w:b w:val="0"/>
          <w:i w:val="0"/>
          <w:sz w:val="20"/>
        </w:rPr>
        <w:t>Antwort: Die Abweichungen sind gerade deshalb wichtig, weil sie zeigen, dass die Bibel ältere Traditionen integriert, statt eine logisch einheitliche Chronik zu verfassen.</w:t>
      </w:r>
    </w:p>
    <w:p>
      <w:pPr>
        <w:pStyle w:val="Heading1"/>
      </w:pPr>
      <w:r>
        <w:t>10. Tiere, Nahrung, Opfer und Moral</w:t>
      </w:r>
    </w:p>
    <w:p>
      <w:pPr>
        <w:spacing w:after="100"/>
      </w:pPr>
      <w:r>
        <w:rPr>
          <w:rFonts w:ascii="Arial" w:hAnsi="Arial"/>
          <w:b w:val="0"/>
          <w:i w:val="0"/>
          <w:sz w:val="20"/>
        </w:rPr>
        <w:t>Genesis 1,29-30 wirkt wie eine gewaltarme Urordnung: Menschen und Tiere erhalten Pflanzen zur Nahrung. Genesis 9,3 erlaubt nach der Flut Fleischverzehr. Daraus ergibt sich ein innerbiblisches Stufenmodell: ursprüngliche Friedensordnung, beschädigte Welt nach Gewalt/Sintflut, regulierte Tiernutzung.</w:t>
      </w:r>
    </w:p>
    <w:p>
      <w:pPr>
        <w:spacing w:after="100"/>
      </w:pPr>
      <w:r>
        <w:rPr>
          <w:rFonts w:ascii="Arial" w:hAnsi="Arial"/>
          <w:b w:val="0"/>
          <w:i w:val="0"/>
          <w:sz w:val="20"/>
        </w:rPr>
        <w:t>Antwort: Die Bibel begründet nicht durchgehend eine moderne Tierethik. Sie enthält Schutzmotive, aber auch Herrschaft, Fleischverzehr und Opfer. Tieropfer waren im Alten Orient normaler Kult und wurden in Israel geregelt, nicht grundsätzlich moralisch verworfen.</w:t>
      </w:r>
    </w:p>
    <w:p>
      <w:pPr>
        <w:spacing w:after="100"/>
      </w:pPr>
      <w:r>
        <w:rPr>
          <w:rFonts w:ascii="Arial" w:hAnsi="Arial"/>
          <w:b w:val="0"/>
          <w:i w:val="0"/>
          <w:sz w:val="20"/>
        </w:rPr>
        <w:t>Menschenopfer sind anders zu bewerten: Die Bibel verbietet Kinderopfer scharf, kennt aber problematische Erzählungen und Polemiken. Gen 22 kann als Erzählung gelesen werden, die Menschenopfer abbricht und Tieropfer substituiert. Richter 11 bleibt moralisch hoch problematisch, weil Jeftahs Tochter tatsächlich geopfert wird oder zumindest endgültig dem normalen Leben entzogen wird, je nach Auslegung.</w:t>
      </w:r>
    </w:p>
    <w:p>
      <w:pPr>
        <w:spacing w:after="60"/>
        <w:ind w:left="360" w:hanging="216"/>
      </w:pPr>
      <w:r>
        <w:rPr>
          <w:rFonts w:ascii="Arial" w:hAnsi="Arial"/>
          <w:sz w:val="19"/>
        </w:rPr>
        <w:t>- Feldman 2020: Opfer müssen literarisch, archäologisch und vergleichend untersucht werden.</w:t>
      </w:r>
    </w:p>
    <w:p>
      <w:pPr>
        <w:spacing w:after="60"/>
        <w:ind w:left="360" w:hanging="216"/>
      </w:pPr>
      <w:r>
        <w:rPr>
          <w:rFonts w:ascii="Arial" w:hAnsi="Arial"/>
          <w:sz w:val="19"/>
        </w:rPr>
        <w:t>- My Jewish Learning: Opfer dienten im Tempel u.a. Sühne, Dank, Reinheit und Nähe zu Gott.</w:t>
      </w:r>
    </w:p>
    <w:p>
      <w:pPr>
        <w:spacing w:after="60"/>
        <w:ind w:left="360" w:hanging="216"/>
      </w:pPr>
      <w:r>
        <w:rPr>
          <w:rFonts w:ascii="Arial" w:hAnsi="Arial"/>
          <w:sz w:val="19"/>
        </w:rPr>
        <w:t>- Molech-Texte: Levitikus, Könige und Jeremia verurteilen Kinderopfer; sie zeigen aber, dass solche Praktiken als religiöses Problem präsent waren.</w:t>
      </w:r>
    </w:p>
    <w:p>
      <w:pPr>
        <w:pStyle w:val="Heading1"/>
      </w:pPr>
      <w:r>
        <w:t>11. Gewalt, Zorn und Herrschaft durch Angst</w:t>
      </w:r>
    </w:p>
    <w:p>
      <w:pPr>
        <w:spacing w:after="100"/>
      </w:pPr>
      <w:r>
        <w:rPr>
          <w:rFonts w:ascii="Arial" w:hAnsi="Arial"/>
          <w:b w:val="0"/>
          <w:i w:val="0"/>
          <w:sz w:val="20"/>
        </w:rPr>
        <w:t>Die Bibel enthält starke Gewalttexte: Sintflut, Sodom, Plagen, Kriegslieder, Banntexte, Strafandrohungen. Zugleich enthält sie Barmherzigkeits-, Gerechtigkeits- und Schutztexte. Es ist sachlich nicht haltbar, nur eine Seite als 'das eigentliche Gottesbild' zu isolieren.</w:t>
      </w:r>
    </w:p>
    <w:p>
      <w:pPr>
        <w:spacing w:after="100"/>
      </w:pPr>
      <w:r>
        <w:rPr>
          <w:rFonts w:ascii="Arial" w:hAnsi="Arial"/>
          <w:b w:val="0"/>
          <w:i w:val="0"/>
          <w:sz w:val="20"/>
        </w:rPr>
        <w:t>Antwort: JHWH erscheint in vielen älteren und deuteronomistischen Texten als eifersüchtiger Bundes- und Kriegsgott. Furcht, Strafandrohung und Segen/Fluch sind zentrale Mittel der Loyalitätsbindung. Ob dies historisch als 'Schreckensherrschaft' zu bezeichnen ist, hängt von der analytischen Kategorie ab. Belegbar ist: Die Texte konstruieren Loyalität häufig über Macht, Angst, Gericht und Kriegserfolg, nicht nur über freiwillige Überzeugung.</w:t>
      </w:r>
    </w:p>
    <w:p>
      <w:pPr>
        <w:spacing w:after="100"/>
      </w:pPr>
      <w:r>
        <w:rPr>
          <w:rFonts w:ascii="Arial" w:hAnsi="Arial"/>
          <w:b w:val="0"/>
          <w:i w:val="0"/>
          <w:sz w:val="20"/>
        </w:rPr>
        <w:t>Bedeutung für unser Hauptthema: Diese Gewaltmotive sprechen dafür, JHWH nicht zuerst als abstrakten philosophischen Gott zu lesen, sondern als altorientalische Machtgottheit, die später universalisiert und ethisch neu gedeutet wurde.</w:t>
      </w:r>
    </w:p>
    <w:p>
      <w:pPr>
        <w:pStyle w:val="Heading1"/>
      </w:pPr>
      <w:r>
        <w:t>12. Warum greifen El oder andere Elohim nicht ein?</w:t>
      </w:r>
    </w:p>
    <w:p>
      <w:pPr>
        <w:spacing w:after="100"/>
      </w:pPr>
      <w:r>
        <w:rPr>
          <w:rFonts w:ascii="Arial" w:hAnsi="Arial"/>
          <w:b w:val="0"/>
          <w:i w:val="0"/>
          <w:sz w:val="20"/>
        </w:rPr>
        <w:t>Direkte Antwort: Die Bibel erzählt keinen ausführlichen Fall, in dem El JHWH wegen Gewalt stoppt. In der Endgestalt ist JHWH selbst der höchste oder einzige Gott. Darum gibt es keine übergeordnete Instanz, die eingreift.</w:t>
      </w:r>
    </w:p>
    <w:p>
      <w:pPr>
        <w:spacing w:after="100"/>
      </w:pPr>
      <w:r>
        <w:rPr>
          <w:rFonts w:ascii="Arial" w:hAnsi="Arial"/>
          <w:b w:val="0"/>
          <w:i w:val="0"/>
          <w:sz w:val="20"/>
        </w:rPr>
        <w:t>Historisch-kritisch ist interessanter: Psalm 82 zeigt einen göttlichen Gerichtshof, in dem andere Elohim wegen ungerechter Herrschaft verurteilt werden. Dtn 32 zeigt in älterer Lesart eine Völkerverteilung unter göttlichen Wesen. Diese Texte deuten an, dass ältere göttliche Mächte nicht einfach verschwanden, sondern in die JHWH-Theologie eingebaut, entmachtet oder umgedeutet wurden.</w:t>
      </w:r>
    </w:p>
    <w:tbl>
      <w:tblPr>
        <w:tblStyle w:val="TableGrid"/>
        <w:tblW w:type="auto" w:w="0"/>
        <w:tblLook w:firstColumn="1" w:firstRow="1" w:lastColumn="0" w:lastRow="0" w:noHBand="0" w:noVBand="1" w:val="04A0"/>
      </w:tblPr>
      <w:tblGrid>
        <w:gridCol w:w="5040"/>
        <w:gridCol w:w="5040"/>
      </w:tblGrid>
      <w:tr>
        <w:tc>
          <w:tcPr>
            <w:tcW w:type="dxa" w:w="5040"/>
          </w:tcPr>
          <w:p>
            <w:r>
              <w:rPr>
                <w:rFonts w:ascii="Arial" w:hAnsi="Arial"/>
                <w:b/>
                <w:sz w:val="17"/>
              </w:rPr>
              <w:t>Mögliches Modell</w:t>
            </w:r>
          </w:p>
        </w:tc>
        <w:tc>
          <w:tcPr>
            <w:tcW w:type="dxa" w:w="5040"/>
          </w:tcPr>
          <w:p>
            <w:r>
              <w:rPr>
                <w:rFonts w:ascii="Arial" w:hAnsi="Arial"/>
                <w:b/>
                <w:sz w:val="17"/>
              </w:rPr>
              <w:t>Antwort auf deine Frage</w:t>
            </w:r>
          </w:p>
        </w:tc>
      </w:tr>
      <w:tr>
        <w:tc>
          <w:tcPr>
            <w:tcW w:type="dxa" w:w="5040"/>
          </w:tcPr>
          <w:p>
            <w:pPr>
              <w:spacing w:after="0"/>
            </w:pPr>
            <w:r>
              <w:rPr>
                <w:rFonts w:ascii="Arial" w:hAnsi="Arial"/>
                <w:sz w:val="16"/>
              </w:rPr>
              <w:t>El über JHWH</w:t>
            </w:r>
          </w:p>
        </w:tc>
        <w:tc>
          <w:tcPr>
            <w:tcW w:type="dxa" w:w="5040"/>
          </w:tcPr>
          <w:p>
            <w:pPr>
              <w:spacing w:after="0"/>
            </w:pPr>
            <w:r>
              <w:rPr>
                <w:rFonts w:ascii="Arial" w:hAnsi="Arial"/>
                <w:sz w:val="16"/>
              </w:rPr>
              <w:t>Für eine frühe Stufe aus Dtn 32 rekonstruierbar, aber nicht als erzählter Konflikt belegt.</w:t>
            </w:r>
          </w:p>
        </w:tc>
      </w:tr>
      <w:tr>
        <w:tc>
          <w:tcPr>
            <w:tcW w:type="dxa" w:w="5040"/>
          </w:tcPr>
          <w:p>
            <w:pPr>
              <w:spacing w:after="0"/>
            </w:pPr>
            <w:r>
              <w:rPr>
                <w:rFonts w:ascii="Arial" w:hAnsi="Arial"/>
                <w:sz w:val="16"/>
              </w:rPr>
              <w:t>JHWH = El</w:t>
            </w:r>
          </w:p>
        </w:tc>
        <w:tc>
          <w:tcPr>
            <w:tcW w:type="dxa" w:w="5040"/>
          </w:tcPr>
          <w:p>
            <w:pPr>
              <w:spacing w:after="0"/>
            </w:pPr>
            <w:r>
              <w:rPr>
                <w:rFonts w:ascii="Arial" w:hAnsi="Arial"/>
                <w:sz w:val="16"/>
              </w:rPr>
              <w:t>Spätere Hauptlinie: JHWH übernimmt El-Rolle; damit gibt es keinen höheren El mehr, der eingreifen könnte.</w:t>
            </w:r>
          </w:p>
        </w:tc>
      </w:tr>
      <w:tr>
        <w:tc>
          <w:tcPr>
            <w:tcW w:type="dxa" w:w="5040"/>
          </w:tcPr>
          <w:p>
            <w:pPr>
              <w:spacing w:after="0"/>
            </w:pPr>
            <w:r>
              <w:rPr>
                <w:rFonts w:ascii="Arial" w:hAnsi="Arial"/>
                <w:sz w:val="16"/>
              </w:rPr>
              <w:t>Andere Elohim</w:t>
            </w:r>
          </w:p>
        </w:tc>
        <w:tc>
          <w:tcPr>
            <w:tcW w:type="dxa" w:w="5040"/>
          </w:tcPr>
          <w:p>
            <w:pPr>
              <w:spacing w:after="0"/>
            </w:pPr>
            <w:r>
              <w:rPr>
                <w:rFonts w:ascii="Arial" w:hAnsi="Arial"/>
                <w:sz w:val="16"/>
              </w:rPr>
              <w:t>Psalm 82 lässt sie scheitern und sterben; sie verlieren Legitimität.</w:t>
            </w:r>
          </w:p>
        </w:tc>
      </w:tr>
      <w:tr>
        <w:tc>
          <w:tcPr>
            <w:tcW w:type="dxa" w:w="5040"/>
          </w:tcPr>
          <w:p>
            <w:pPr>
              <w:spacing w:after="0"/>
            </w:pPr>
            <w:r>
              <w:rPr>
                <w:rFonts w:ascii="Arial" w:hAnsi="Arial"/>
                <w:sz w:val="16"/>
              </w:rPr>
              <w:t>Engel/Dämonen</w:t>
            </w:r>
          </w:p>
        </w:tc>
        <w:tc>
          <w:tcPr>
            <w:tcW w:type="dxa" w:w="5040"/>
          </w:tcPr>
          <w:p>
            <w:pPr>
              <w:spacing w:after="0"/>
            </w:pPr>
            <w:r>
              <w:rPr>
                <w:rFonts w:ascii="Arial" w:hAnsi="Arial"/>
                <w:sz w:val="16"/>
              </w:rPr>
              <w:t>Second-Temple-Texte klassifizieren ältere göttliche Wesen um.</w:t>
            </w:r>
          </w:p>
        </w:tc>
      </w:tr>
    </w:tbl>
    <w:p/>
    <w:p>
      <w:pPr>
        <w:pStyle w:val="Heading1"/>
      </w:pPr>
      <w:r>
        <w:t>13. Ägyptische Plagen: Götterstreit oder literarische Machtdemonstration?</w:t>
      </w:r>
    </w:p>
    <w:p>
      <w:pPr>
        <w:spacing w:after="100"/>
      </w:pPr>
      <w:r>
        <w:rPr>
          <w:rFonts w:ascii="Arial" w:hAnsi="Arial"/>
          <w:b w:val="0"/>
          <w:i w:val="0"/>
          <w:sz w:val="20"/>
        </w:rPr>
        <w:t>Exodus 12,12 ist entscheidend: JHWH kündigt Gericht über alle Götter Ägyptens an. Numeri 33,4 wiederholt diesen Gedanken. Also ja: Der Text selbst deutet den Exodus auch als göttliche Machtdemonstration gegen ägyptische Gottheiten.</w:t>
      </w:r>
    </w:p>
    <w:p>
      <w:pPr>
        <w:spacing w:after="100"/>
      </w:pPr>
      <w:r>
        <w:rPr>
          <w:rFonts w:ascii="Arial" w:hAnsi="Arial"/>
          <w:b w:val="0"/>
          <w:i w:val="0"/>
          <w:sz w:val="20"/>
        </w:rPr>
        <w:t>Antwort: Ein 'Götterstreit' ist im Text vorhanden, aber nicht als ausformulierter Mythos, in dem Ra, Amun, Osiris usw. aktiv gegen JHWH kämpfen. Die Plagen zeigen vielmehr: JHWH kontrolliert Bereiche, die im ägyptischen Weltbild göttlich besetzt sind: Nil, Tiere, Fruchtbarkeit, Himmel, Licht, Leben, Pharao.</w:t>
      </w:r>
    </w:p>
    <w:tbl>
      <w:tblPr>
        <w:tblStyle w:val="TableGrid"/>
        <w:tblW w:type="auto" w:w="0"/>
        <w:tblLook w:firstColumn="1" w:firstRow="1" w:lastColumn="0" w:lastRow="0" w:noHBand="0" w:noVBand="1" w:val="04A0"/>
      </w:tblPr>
      <w:tblGrid>
        <w:gridCol w:w="3360"/>
        <w:gridCol w:w="3360"/>
        <w:gridCol w:w="3360"/>
      </w:tblGrid>
      <w:tr>
        <w:tc>
          <w:tcPr>
            <w:tcW w:type="dxa" w:w="3360"/>
          </w:tcPr>
          <w:p>
            <w:r>
              <w:rPr>
                <w:rFonts w:ascii="Arial" w:hAnsi="Arial"/>
                <w:b/>
                <w:sz w:val="17"/>
              </w:rPr>
              <w:t>Plage/Motiv</w:t>
            </w:r>
          </w:p>
        </w:tc>
        <w:tc>
          <w:tcPr>
            <w:tcW w:type="dxa" w:w="3360"/>
          </w:tcPr>
          <w:p>
            <w:r>
              <w:rPr>
                <w:rFonts w:ascii="Arial" w:hAnsi="Arial"/>
                <w:b/>
                <w:sz w:val="17"/>
              </w:rPr>
              <w:t>Mögliche Zielrichtung</w:t>
            </w:r>
          </w:p>
        </w:tc>
        <w:tc>
          <w:tcPr>
            <w:tcW w:type="dxa" w:w="3360"/>
          </w:tcPr>
          <w:p>
            <w:r>
              <w:rPr>
                <w:rFonts w:ascii="Arial" w:hAnsi="Arial"/>
                <w:b/>
                <w:sz w:val="17"/>
              </w:rPr>
              <w:t>Bewertung</w:t>
            </w:r>
          </w:p>
        </w:tc>
      </w:tr>
      <w:tr>
        <w:tc>
          <w:tcPr>
            <w:tcW w:type="dxa" w:w="3360"/>
          </w:tcPr>
          <w:p>
            <w:pPr>
              <w:spacing w:after="0"/>
            </w:pPr>
            <w:r>
              <w:rPr>
                <w:rFonts w:ascii="Arial" w:hAnsi="Arial"/>
                <w:sz w:val="16"/>
              </w:rPr>
              <w:t>Nil zu Blut</w:t>
            </w:r>
          </w:p>
        </w:tc>
        <w:tc>
          <w:tcPr>
            <w:tcW w:type="dxa" w:w="3360"/>
          </w:tcPr>
          <w:p>
            <w:pPr>
              <w:spacing w:after="0"/>
            </w:pPr>
            <w:r>
              <w:rPr>
                <w:rFonts w:ascii="Arial" w:hAnsi="Arial"/>
                <w:sz w:val="16"/>
              </w:rPr>
              <w:t>Nilleben, Fruchtbarkeit, Wasserordnung.</w:t>
            </w:r>
          </w:p>
        </w:tc>
        <w:tc>
          <w:tcPr>
            <w:tcW w:type="dxa" w:w="3360"/>
          </w:tcPr>
          <w:p>
            <w:pPr>
              <w:spacing w:after="0"/>
            </w:pPr>
            <w:r>
              <w:rPr>
                <w:rFonts w:ascii="Arial" w:hAnsi="Arial"/>
                <w:sz w:val="16"/>
              </w:rPr>
              <w:t>Plausible Polemik, konkrete Gottheiten nicht sicher.</w:t>
            </w:r>
          </w:p>
        </w:tc>
      </w:tr>
      <w:tr>
        <w:tc>
          <w:tcPr>
            <w:tcW w:type="dxa" w:w="3360"/>
          </w:tcPr>
          <w:p>
            <w:pPr>
              <w:spacing w:after="0"/>
            </w:pPr>
            <w:r>
              <w:rPr>
                <w:rFonts w:ascii="Arial" w:hAnsi="Arial"/>
                <w:sz w:val="16"/>
              </w:rPr>
              <w:t>Frösche</w:t>
            </w:r>
          </w:p>
        </w:tc>
        <w:tc>
          <w:tcPr>
            <w:tcW w:type="dxa" w:w="3360"/>
          </w:tcPr>
          <w:p>
            <w:pPr>
              <w:spacing w:after="0"/>
            </w:pPr>
            <w:r>
              <w:rPr>
                <w:rFonts w:ascii="Arial" w:hAnsi="Arial"/>
                <w:sz w:val="16"/>
              </w:rPr>
              <w:t>Fruchtbarkeit/Geburt, Heqet-Symbolik.</w:t>
            </w:r>
          </w:p>
        </w:tc>
        <w:tc>
          <w:tcPr>
            <w:tcW w:type="dxa" w:w="3360"/>
          </w:tcPr>
          <w:p>
            <w:pPr>
              <w:spacing w:after="0"/>
            </w:pPr>
            <w:r>
              <w:rPr>
                <w:rFonts w:ascii="Arial" w:hAnsi="Arial"/>
                <w:sz w:val="16"/>
              </w:rPr>
              <w:t>Plausibel.</w:t>
            </w:r>
          </w:p>
        </w:tc>
      </w:tr>
      <w:tr>
        <w:tc>
          <w:tcPr>
            <w:tcW w:type="dxa" w:w="3360"/>
          </w:tcPr>
          <w:p>
            <w:pPr>
              <w:spacing w:after="0"/>
            </w:pPr>
            <w:r>
              <w:rPr>
                <w:rFonts w:ascii="Arial" w:hAnsi="Arial"/>
                <w:sz w:val="16"/>
              </w:rPr>
              <w:t>Viehseuche</w:t>
            </w:r>
          </w:p>
        </w:tc>
        <w:tc>
          <w:tcPr>
            <w:tcW w:type="dxa" w:w="3360"/>
          </w:tcPr>
          <w:p>
            <w:pPr>
              <w:spacing w:after="0"/>
            </w:pPr>
            <w:r>
              <w:rPr>
                <w:rFonts w:ascii="Arial" w:hAnsi="Arial"/>
                <w:sz w:val="16"/>
              </w:rPr>
              <w:t>Heilige Tier- und Rindergottheiten.</w:t>
            </w:r>
          </w:p>
        </w:tc>
        <w:tc>
          <w:tcPr>
            <w:tcW w:type="dxa" w:w="3360"/>
          </w:tcPr>
          <w:p>
            <w:pPr>
              <w:spacing w:after="0"/>
            </w:pPr>
            <w:r>
              <w:rPr>
                <w:rFonts w:ascii="Arial" w:hAnsi="Arial"/>
                <w:sz w:val="16"/>
              </w:rPr>
              <w:t>Plausibel.</w:t>
            </w:r>
          </w:p>
        </w:tc>
      </w:tr>
      <w:tr>
        <w:tc>
          <w:tcPr>
            <w:tcW w:type="dxa" w:w="3360"/>
          </w:tcPr>
          <w:p>
            <w:pPr>
              <w:spacing w:after="0"/>
            </w:pPr>
            <w:r>
              <w:rPr>
                <w:rFonts w:ascii="Arial" w:hAnsi="Arial"/>
                <w:sz w:val="16"/>
              </w:rPr>
              <w:t>Finsternis</w:t>
            </w:r>
          </w:p>
        </w:tc>
        <w:tc>
          <w:tcPr>
            <w:tcW w:type="dxa" w:w="3360"/>
          </w:tcPr>
          <w:p>
            <w:pPr>
              <w:spacing w:after="0"/>
            </w:pPr>
            <w:r>
              <w:rPr>
                <w:rFonts w:ascii="Arial" w:hAnsi="Arial"/>
                <w:sz w:val="16"/>
              </w:rPr>
              <w:t>Sonnenordnung/Ra.</w:t>
            </w:r>
          </w:p>
        </w:tc>
        <w:tc>
          <w:tcPr>
            <w:tcW w:type="dxa" w:w="3360"/>
          </w:tcPr>
          <w:p>
            <w:pPr>
              <w:spacing w:after="0"/>
            </w:pPr>
            <w:r>
              <w:rPr>
                <w:rFonts w:ascii="Arial" w:hAnsi="Arial"/>
                <w:sz w:val="16"/>
              </w:rPr>
              <w:t>Stark plausibel.</w:t>
            </w:r>
          </w:p>
        </w:tc>
      </w:tr>
      <w:tr>
        <w:tc>
          <w:tcPr>
            <w:tcW w:type="dxa" w:w="3360"/>
          </w:tcPr>
          <w:p>
            <w:pPr>
              <w:spacing w:after="0"/>
            </w:pPr>
            <w:r>
              <w:rPr>
                <w:rFonts w:ascii="Arial" w:hAnsi="Arial"/>
                <w:sz w:val="16"/>
              </w:rPr>
              <w:t>Tod der Erstgeburt</w:t>
            </w:r>
          </w:p>
        </w:tc>
        <w:tc>
          <w:tcPr>
            <w:tcW w:type="dxa" w:w="3360"/>
          </w:tcPr>
          <w:p>
            <w:pPr>
              <w:spacing w:after="0"/>
            </w:pPr>
            <w:r>
              <w:rPr>
                <w:rFonts w:ascii="Arial" w:hAnsi="Arial"/>
                <w:sz w:val="16"/>
              </w:rPr>
              <w:t>Dynastie, Pharao, Lebenserhalt, heilige Erstgeburt.</w:t>
            </w:r>
          </w:p>
        </w:tc>
        <w:tc>
          <w:tcPr>
            <w:tcW w:type="dxa" w:w="3360"/>
          </w:tcPr>
          <w:p>
            <w:pPr>
              <w:spacing w:after="0"/>
            </w:pPr>
            <w:r>
              <w:rPr>
                <w:rFonts w:ascii="Arial" w:hAnsi="Arial"/>
                <w:sz w:val="16"/>
              </w:rPr>
              <w:t>Theologisch zentral, moralisch extrem problematisch.</w:t>
            </w:r>
          </w:p>
        </w:tc>
      </w:tr>
    </w:tbl>
    <w:p/>
    <w:p>
      <w:pPr>
        <w:spacing w:after="100"/>
      </w:pPr>
      <w:r>
        <w:rPr>
          <w:rFonts w:ascii="Arial" w:hAnsi="Arial"/>
          <w:b w:val="0"/>
          <w:i w:val="0"/>
          <w:sz w:val="20"/>
        </w:rPr>
        <w:t>Warum greifen die ägyptischen Schutzgötter nicht ein? Aus Sicht des Exodus-Textes: weil JHWH sie richtet. Historisch-kritisch: weil die Erzählung aus israelitischer Perspektive geschrieben ist und Ägyptens Götter literarisch als machtlos darstellt.</w:t>
      </w:r>
    </w:p>
    <w:p>
      <w:pPr>
        <w:pStyle w:val="Heading1"/>
      </w:pPr>
      <w:r>
        <w:t>14. Endergebnis für das Hauptthema</w:t>
      </w:r>
    </w:p>
    <w:p>
      <w:pPr>
        <w:spacing w:after="100"/>
      </w:pPr>
      <w:r>
        <w:rPr>
          <w:rFonts w:ascii="Arial" w:hAnsi="Arial"/>
          <w:b w:val="0"/>
          <w:i w:val="0"/>
          <w:sz w:val="20"/>
        </w:rPr>
        <w:t>Die geprüften Punkte stützen nicht die pauschale These 'alle Götter sind derselbe Gott'. Sie stützen aber eine stärkere, wissenschaftlich tragfähigere These:</w:t>
      </w:r>
    </w:p>
    <w:p>
      <w:pPr>
        <w:spacing w:after="100"/>
      </w:pPr>
      <w:r>
        <w:rPr>
          <w:rFonts w:ascii="Arial" w:hAnsi="Arial"/>
          <w:b w:val="0"/>
          <w:i w:val="0"/>
          <w:sz w:val="20"/>
        </w:rPr>
        <w:t>JHWH wird in der biblischen Tradition von einem spezifischen Gott Israels zum universalen Schöpfergott ausgearbeitet. Dabei werden ältere El-Titel, göttliche Ratsvorstellungen, Baal-/Sturmgottmotive, Opfer- und Kriegsgottlogiken, Völkerordnungen und spätere angelologische Umdeutungen in eine monotheistische Endgestalt integriert.</w:t>
      </w:r>
    </w:p>
    <w:tbl>
      <w:tblPr>
        <w:tblStyle w:val="TableGrid"/>
        <w:tblW w:type="auto" w:w="0"/>
        <w:tblLook w:firstColumn="1" w:firstRow="1" w:lastColumn="0" w:lastRow="0" w:noHBand="0" w:noVBand="1" w:val="04A0"/>
      </w:tblPr>
      <w:tblGrid>
        <w:gridCol w:w="5040"/>
        <w:gridCol w:w="5040"/>
      </w:tblGrid>
      <w:tr>
        <w:tc>
          <w:tcPr>
            <w:tcW w:type="dxa" w:w="5040"/>
          </w:tcPr>
          <w:p>
            <w:r>
              <w:rPr>
                <w:rFonts w:ascii="Arial" w:hAnsi="Arial"/>
                <w:b/>
                <w:sz w:val="17"/>
              </w:rPr>
              <w:t>These</w:t>
            </w:r>
          </w:p>
        </w:tc>
        <w:tc>
          <w:tcPr>
            <w:tcW w:type="dxa" w:w="5040"/>
          </w:tcPr>
          <w:p>
            <w:r>
              <w:rPr>
                <w:rFonts w:ascii="Arial" w:hAnsi="Arial"/>
                <w:b/>
                <w:sz w:val="17"/>
              </w:rPr>
              <w:t>Status nach Dossier N</w:t>
            </w:r>
          </w:p>
        </w:tc>
      </w:tr>
      <w:tr>
        <w:tc>
          <w:tcPr>
            <w:tcW w:type="dxa" w:w="5040"/>
          </w:tcPr>
          <w:p>
            <w:pPr>
              <w:spacing w:after="0"/>
            </w:pPr>
            <w:r>
              <w:rPr>
                <w:rFonts w:ascii="Arial" w:hAnsi="Arial"/>
                <w:sz w:val="16"/>
              </w:rPr>
              <w:t>JHWH = El</w:t>
            </w:r>
          </w:p>
        </w:tc>
        <w:tc>
          <w:tcPr>
            <w:tcW w:type="dxa" w:w="5040"/>
          </w:tcPr>
          <w:p>
            <w:pPr>
              <w:spacing w:after="0"/>
            </w:pPr>
            <w:r>
              <w:rPr>
                <w:rFonts w:ascii="Arial" w:hAnsi="Arial"/>
                <w:sz w:val="16"/>
              </w:rPr>
              <w:t>Stark plausibel als Identifikation/Verschmelzung in israelitischer Religionsgeschichte.</w:t>
            </w:r>
          </w:p>
        </w:tc>
      </w:tr>
      <w:tr>
        <w:tc>
          <w:tcPr>
            <w:tcW w:type="dxa" w:w="5040"/>
          </w:tcPr>
          <w:p>
            <w:pPr>
              <w:spacing w:after="0"/>
            </w:pPr>
            <w:r>
              <w:rPr>
                <w:rFonts w:ascii="Arial" w:hAnsi="Arial"/>
                <w:sz w:val="16"/>
              </w:rPr>
              <w:t>JHWH übernimmt Baal-Motive</w:t>
            </w:r>
          </w:p>
        </w:tc>
        <w:tc>
          <w:tcPr>
            <w:tcW w:type="dxa" w:w="5040"/>
          </w:tcPr>
          <w:p>
            <w:pPr>
              <w:spacing w:after="0"/>
            </w:pPr>
            <w:r>
              <w:rPr>
                <w:rFonts w:ascii="Arial" w:hAnsi="Arial"/>
                <w:sz w:val="16"/>
              </w:rPr>
              <w:t>Gut plausibel, besonders Wetter, Wolken, Chaoskampf, Krieg.</w:t>
            </w:r>
          </w:p>
        </w:tc>
      </w:tr>
      <w:tr>
        <w:tc>
          <w:tcPr>
            <w:tcW w:type="dxa" w:w="5040"/>
          </w:tcPr>
          <w:p>
            <w:pPr>
              <w:spacing w:after="0"/>
            </w:pPr>
            <w:r>
              <w:rPr>
                <w:rFonts w:ascii="Arial" w:hAnsi="Arial"/>
                <w:sz w:val="16"/>
              </w:rPr>
              <w:t>JHWH besiegt/entmachtet andere Elohim</w:t>
            </w:r>
          </w:p>
        </w:tc>
        <w:tc>
          <w:tcPr>
            <w:tcW w:type="dxa" w:w="5040"/>
          </w:tcPr>
          <w:p>
            <w:pPr>
              <w:spacing w:after="0"/>
            </w:pPr>
            <w:r>
              <w:rPr>
                <w:rFonts w:ascii="Arial" w:hAnsi="Arial"/>
                <w:sz w:val="16"/>
              </w:rPr>
              <w:t>Plausibel als literarisch-theologische Entwicklung, besonders Ps 82; kein geschlossener Pantheonkrieg belegt.</w:t>
            </w:r>
          </w:p>
        </w:tc>
      </w:tr>
      <w:tr>
        <w:tc>
          <w:tcPr>
            <w:tcW w:type="dxa" w:w="5040"/>
          </w:tcPr>
          <w:p>
            <w:pPr>
              <w:spacing w:after="0"/>
            </w:pPr>
            <w:r>
              <w:rPr>
                <w:rFonts w:ascii="Arial" w:hAnsi="Arial"/>
                <w:sz w:val="16"/>
              </w:rPr>
              <w:t>JHWH = ägyptische Götter</w:t>
            </w:r>
          </w:p>
        </w:tc>
        <w:tc>
          <w:tcPr>
            <w:tcW w:type="dxa" w:w="5040"/>
          </w:tcPr>
          <w:p>
            <w:pPr>
              <w:spacing w:after="0"/>
            </w:pPr>
            <w:r>
              <w:rPr>
                <w:rFonts w:ascii="Arial" w:hAnsi="Arial"/>
                <w:sz w:val="16"/>
              </w:rPr>
              <w:t>Nicht belegt; Exodus zeigt eher Polemik und Überbietung.</w:t>
            </w:r>
          </w:p>
        </w:tc>
      </w:tr>
      <w:tr>
        <w:tc>
          <w:tcPr>
            <w:tcW w:type="dxa" w:w="5040"/>
          </w:tcPr>
          <w:p>
            <w:pPr>
              <w:spacing w:after="0"/>
            </w:pPr>
            <w:r>
              <w:rPr>
                <w:rFonts w:ascii="Arial" w:hAnsi="Arial"/>
                <w:sz w:val="16"/>
              </w:rPr>
              <w:t>JHWH = Marduk/Anunnaki</w:t>
            </w:r>
          </w:p>
        </w:tc>
        <w:tc>
          <w:tcPr>
            <w:tcW w:type="dxa" w:w="5040"/>
          </w:tcPr>
          <w:p>
            <w:pPr>
              <w:spacing w:after="0"/>
            </w:pPr>
            <w:r>
              <w:rPr>
                <w:rFonts w:ascii="Arial" w:hAnsi="Arial"/>
                <w:sz w:val="16"/>
              </w:rPr>
              <w:t>Nicht belegt; Vergleichs- und Einflussfrage, keine direkte Identität.</w:t>
            </w:r>
          </w:p>
        </w:tc>
      </w:tr>
      <w:tr>
        <w:tc>
          <w:tcPr>
            <w:tcW w:type="dxa" w:w="5040"/>
          </w:tcPr>
          <w:p>
            <w:pPr>
              <w:spacing w:after="0"/>
            </w:pPr>
            <w:r>
              <w:rPr>
                <w:rFonts w:ascii="Arial" w:hAnsi="Arial"/>
                <w:sz w:val="16"/>
              </w:rPr>
              <w:t>Biblische Urgeschichte ist historische Weltchronik</w:t>
            </w:r>
          </w:p>
        </w:tc>
        <w:tc>
          <w:tcPr>
            <w:tcW w:type="dxa" w:w="5040"/>
          </w:tcPr>
          <w:p>
            <w:pPr>
              <w:spacing w:after="0"/>
            </w:pPr>
            <w:r>
              <w:rPr>
                <w:rFonts w:ascii="Arial" w:hAnsi="Arial"/>
                <w:sz w:val="16"/>
              </w:rPr>
              <w:t>Nicht haltbar nach moderner Forschung; besser als theologische Ursprungserzählung zu lesen.</w:t>
            </w:r>
          </w:p>
        </w:tc>
      </w:tr>
    </w:tbl>
    <w:p/>
    <w:p>
      <w:pPr>
        <w:pStyle w:val="Heading1"/>
      </w:pPr>
      <w:r>
        <w:t>15. Lokale Arbeitsquellen: ausgewählte Treffer</w:t>
      </w:r>
    </w:p>
    <w:p>
      <w:pPr>
        <w:spacing w:after="100"/>
      </w:pPr>
      <w:r>
        <w:rPr>
          <w:rFonts w:ascii="Arial" w:hAnsi="Arial"/>
          <w:b w:val="0"/>
          <w:i w:val="0"/>
          <w:sz w:val="20"/>
        </w:rPr>
        <w:t>Die folgende Tabelle nennt eine Auswahl lokaler Treffer aus den bereits konvertierten Arbeitsdokumenten. Die vollständige Trefferliste liegt als CSV im Projektordner: outputs/Bibelanalyse/lokale_quellen_treffer_dossier_n.csv.</w:t>
      </w:r>
    </w:p>
    <w:tbl>
      <w:tblPr>
        <w:tblStyle w:val="TableGrid"/>
        <w:tblW w:type="auto" w:w="0"/>
        <w:tblLook w:firstColumn="1" w:firstRow="1" w:lastColumn="0" w:lastRow="0" w:noHBand="0" w:noVBand="1" w:val="04A0"/>
      </w:tblPr>
      <w:tblGrid>
        <w:gridCol w:w="2520"/>
        <w:gridCol w:w="2520"/>
        <w:gridCol w:w="2520"/>
        <w:gridCol w:w="2520"/>
      </w:tblGrid>
      <w:tr>
        <w:tc>
          <w:tcPr>
            <w:tcW w:type="dxa" w:w="2520"/>
          </w:tcPr>
          <w:p>
            <w:r>
              <w:rPr>
                <w:rFonts w:ascii="Arial" w:hAnsi="Arial"/>
                <w:b/>
                <w:sz w:val="17"/>
              </w:rPr>
              <w:t>Datei</w:t>
            </w:r>
          </w:p>
        </w:tc>
        <w:tc>
          <w:tcPr>
            <w:tcW w:type="dxa" w:w="2520"/>
          </w:tcPr>
          <w:p>
            <w:r>
              <w:rPr>
                <w:rFonts w:ascii="Arial" w:hAnsi="Arial"/>
                <w:b/>
                <w:sz w:val="17"/>
              </w:rPr>
              <w:t>Absatz</w:t>
            </w:r>
          </w:p>
        </w:tc>
        <w:tc>
          <w:tcPr>
            <w:tcW w:type="dxa" w:w="2520"/>
          </w:tcPr>
          <w:p>
            <w:r>
              <w:rPr>
                <w:rFonts w:ascii="Arial" w:hAnsi="Arial"/>
                <w:b/>
                <w:sz w:val="17"/>
              </w:rPr>
              <w:t>Treffer</w:t>
            </w:r>
          </w:p>
        </w:tc>
        <w:tc>
          <w:tcPr>
            <w:tcW w:type="dxa" w:w="2520"/>
          </w:tcPr>
          <w:p>
            <w:r>
              <w:rPr>
                <w:rFonts w:ascii="Arial" w:hAnsi="Arial"/>
                <w:b/>
                <w:sz w:val="17"/>
              </w:rPr>
              <w:t>Auszug</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56</w:t>
            </w:r>
          </w:p>
        </w:tc>
        <w:tc>
          <w:tcPr>
            <w:tcW w:type="dxa" w:w="2520"/>
          </w:tcPr>
          <w:p>
            <w:pPr>
              <w:spacing w:after="0"/>
            </w:pPr>
            <w:r>
              <w:rPr>
                <w:rFonts w:ascii="Arial" w:hAnsi="Arial"/>
                <w:sz w:val="16"/>
              </w:rPr>
              <w:t>Adam</w:t>
            </w:r>
          </w:p>
        </w:tc>
        <w:tc>
          <w:tcPr>
            <w:tcW w:type="dxa" w:w="2520"/>
          </w:tcPr>
          <w:p>
            <w:pPr>
              <w:spacing w:after="0"/>
            </w:pPr>
            <w:r>
              <w:rPr>
                <w:rFonts w:ascii="Arial" w:hAnsi="Arial"/>
                <w:sz w:val="16"/>
              </w:rPr>
              <w:t>a (1,26) hebr. Adam = der vom Erdboden Genommene, von hebr. adamah = Erdboden, Ackererde. »Adam« ist zugleich der Name für den ersten Menschen und ein häufi ges hebr. Wort für »Mensch«.</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90</w:t>
            </w:r>
          </w:p>
        </w:tc>
        <w:tc>
          <w:tcPr>
            <w:tcW w:type="dxa" w:w="2520"/>
          </w:tcPr>
          <w:p>
            <w:pPr>
              <w:spacing w:after="0"/>
            </w:pPr>
            <w:r>
              <w:rPr>
                <w:rFonts w:ascii="Arial" w:hAnsi="Arial"/>
                <w:sz w:val="16"/>
              </w:rPr>
              <w:t>Adam</w:t>
            </w:r>
          </w:p>
        </w:tc>
        <w:tc>
          <w:tcPr>
            <w:tcW w:type="dxa" w:w="2520"/>
          </w:tcPr>
          <w:p>
            <w:pPr>
              <w:spacing w:after="0"/>
            </w:pPr>
            <w:r>
              <w:rPr>
                <w:rFonts w:ascii="Arial" w:hAnsi="Arial"/>
                <w:sz w:val="16"/>
              </w:rPr>
              <w:t>9 Da rief Gott der HERR den Menschen und sprach: Wo bist du? 10 Und er antwortete: Ich hörte deine Stimme im Garten und fürchtete mich, denn ich bin nackt; darum habe ich mich verborgen! 11 Da sprach er: Wer hat dir gesagt, daß du nackt bist? Hast du etwa von dem Baum gegessen, von dem ich dir geboten habe, du solltest nicht davon essen? 12 Da antwortete der</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92</w:t>
            </w:r>
          </w:p>
        </w:tc>
        <w:tc>
          <w:tcPr>
            <w:tcW w:type="dxa" w:w="2520"/>
          </w:tcPr>
          <w:p>
            <w:pPr>
              <w:spacing w:after="0"/>
            </w:pPr>
            <w:r>
              <w:rPr>
                <w:rFonts w:ascii="Arial" w:hAnsi="Arial"/>
                <w:sz w:val="16"/>
              </w:rPr>
              <w:t>Adam; Eva</w:t>
            </w:r>
          </w:p>
        </w:tc>
        <w:tc>
          <w:tcPr>
            <w:tcW w:type="dxa" w:w="2520"/>
          </w:tcPr>
          <w:p>
            <w:pPr>
              <w:spacing w:after="0"/>
            </w:pPr>
            <w:r>
              <w:rPr>
                <w:rFonts w:ascii="Arial" w:hAnsi="Arial"/>
                <w:sz w:val="16"/>
              </w:rPr>
              <w:t>20 Und Adam gab seiner Frau den Namen Eva; denn sie wurde die Mutter aller Lebendigen. 21 Und Gott der HERR machte Adam und seiner Frau Kleider aus Fell und bekleidete sie. 22 Und Gott der HERR sprach: Siehe, der Mensch ist geworden wie unsereiner, indem er erkennt, was gut und böse ist; nun aber — daß er nur nicht seine Hand ausstrecke und vom Baum des Lebe</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95</w:t>
            </w:r>
          </w:p>
        </w:tc>
        <w:tc>
          <w:tcPr>
            <w:tcW w:type="dxa" w:w="2520"/>
          </w:tcPr>
          <w:p>
            <w:pPr>
              <w:spacing w:after="0"/>
            </w:pPr>
            <w:r>
              <w:rPr>
                <w:rFonts w:ascii="Arial" w:hAnsi="Arial"/>
                <w:sz w:val="16"/>
              </w:rPr>
              <w:t>Adam; Eva</w:t>
            </w:r>
          </w:p>
        </w:tc>
        <w:tc>
          <w:tcPr>
            <w:tcW w:type="dxa" w:w="2520"/>
          </w:tcPr>
          <w:p>
            <w:pPr>
              <w:spacing w:after="0"/>
            </w:pPr>
            <w:r>
              <w:rPr>
                <w:rFonts w:ascii="Arial" w:hAnsi="Arial"/>
                <w:sz w:val="16"/>
              </w:rPr>
              <w:t>Und Adam erkannte seine Frau Eva; und sie wurde schwanger und gebar den Kaine. Und sie sprach: Ich habe einen Mann erworben mit der Hilfe des HERRN! 2 Und weiter gebar sie seinen Bruder Abelf. Und Abel wurde ein Schafhirte, Kain aber ein Ackerbauer.</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121</w:t>
            </w:r>
          </w:p>
        </w:tc>
        <w:tc>
          <w:tcPr>
            <w:tcW w:type="dxa" w:w="2520"/>
          </w:tcPr>
          <w:p>
            <w:pPr>
              <w:spacing w:after="0"/>
            </w:pPr>
            <w:r>
              <w:rPr>
                <w:rFonts w:ascii="Arial" w:hAnsi="Arial"/>
                <w:sz w:val="16"/>
              </w:rPr>
              <w:t>Adam; Noah</w:t>
            </w:r>
          </w:p>
        </w:tc>
        <w:tc>
          <w:tcPr>
            <w:tcW w:type="dxa" w:w="2520"/>
          </w:tcPr>
          <w:p>
            <w:pPr>
              <w:spacing w:after="0"/>
            </w:pPr>
            <w:r>
              <w:rPr>
                <w:rFonts w:ascii="Arial" w:hAnsi="Arial"/>
                <w:sz w:val="16"/>
              </w:rPr>
              <w:t>Die Nachkommen Adams von Seth bis Noah</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147</w:t>
            </w:r>
          </w:p>
        </w:tc>
        <w:tc>
          <w:tcPr>
            <w:tcW w:type="dxa" w:w="2520"/>
          </w:tcPr>
          <w:p>
            <w:pPr>
              <w:spacing w:after="0"/>
            </w:pPr>
            <w:r>
              <w:rPr>
                <w:rFonts w:ascii="Arial" w:hAnsi="Arial"/>
                <w:sz w:val="16"/>
              </w:rPr>
              <w:t>Noah</w:t>
            </w:r>
          </w:p>
        </w:tc>
        <w:tc>
          <w:tcPr>
            <w:tcW w:type="dxa" w:w="2520"/>
          </w:tcPr>
          <w:p>
            <w:pPr>
              <w:spacing w:after="0"/>
            </w:pPr>
            <w:r>
              <w:rPr>
                <w:rFonts w:ascii="Arial" w:hAnsi="Arial"/>
                <w:sz w:val="16"/>
              </w:rPr>
              <w:t>28 Und Lamech lebte 182 Jahre, da zeugte er einen Sohn; 29 und er gab ihm den Namen Noaha, indem er sprach: Der wird uns trösten über unsere Arbeit und die Mühe unserer Hände, die von dem Erdboden herrührt, den der HERR verfl ucht hat! 30 Und Lamech lebte, nachdem er den Noah gezeugt hatte, [noch] 595 Jahre und zeugte Söhne und Töchter; 31 und die ganze Lebe</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232</w:t>
            </w:r>
          </w:p>
        </w:tc>
        <w:tc>
          <w:tcPr>
            <w:tcW w:type="dxa" w:w="2520"/>
          </w:tcPr>
          <w:p>
            <w:pPr>
              <w:spacing w:after="0"/>
            </w:pPr>
            <w:r>
              <w:rPr>
                <w:rFonts w:ascii="Arial" w:hAnsi="Arial"/>
                <w:sz w:val="16"/>
              </w:rPr>
              <w:t>Noah; Sintflut</w:t>
            </w:r>
          </w:p>
        </w:tc>
        <w:tc>
          <w:tcPr>
            <w:tcW w:type="dxa" w:w="2520"/>
          </w:tcPr>
          <w:p>
            <w:pPr>
              <w:spacing w:after="0"/>
            </w:pPr>
            <w:r>
              <w:rPr>
                <w:rFonts w:ascii="Arial" w:hAnsi="Arial"/>
                <w:sz w:val="16"/>
              </w:rPr>
              <w:t>32 Das sind die Sippen der Söhne Noahs nach ihrer Abstammung in ihren Völkern; und von ihnen haben sich nach der Sintflut die Völker auf der Erde verteilt.</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225</w:t>
            </w:r>
          </w:p>
        </w:tc>
        <w:tc>
          <w:tcPr>
            <w:tcW w:type="dxa" w:w="2520"/>
          </w:tcPr>
          <w:p>
            <w:pPr>
              <w:spacing w:after="0"/>
            </w:pPr>
            <w:r>
              <w:rPr>
                <w:rFonts w:ascii="Arial" w:hAnsi="Arial"/>
                <w:sz w:val="16"/>
              </w:rPr>
              <w:t>Adam; Babel</w:t>
            </w:r>
          </w:p>
        </w:tc>
        <w:tc>
          <w:tcPr>
            <w:tcW w:type="dxa" w:w="2520"/>
          </w:tcPr>
          <w:p>
            <w:pPr>
              <w:spacing w:after="0"/>
            </w:pPr>
            <w:r>
              <w:rPr>
                <w:rFonts w:ascii="Arial" w:hAnsi="Arial"/>
                <w:sz w:val="16"/>
              </w:rPr>
              <w:t>2 Die Söhne Japhets waren: Gomer, Magog, Madai, Jawan, Tubal, Mesech und Tiras. 3 Die Söhne Gomers aber: Aschkenas, Riphat und Togarma. 4 Und die Söhne Jawans: Elischa, Tarsis, die Kittäer und die Dodaniter. 5 Von diesen haben sie sich auf die Gebiete der Heiden verteilt, in ihre Länder, jeder nach seiner Sprache; in ihre Völkerschaften, jeder nach seiner Si</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233</w:t>
            </w:r>
          </w:p>
        </w:tc>
        <w:tc>
          <w:tcPr>
            <w:tcW w:type="dxa" w:w="2520"/>
          </w:tcPr>
          <w:p>
            <w:pPr>
              <w:spacing w:after="0"/>
            </w:pPr>
            <w:r>
              <w:rPr>
                <w:rFonts w:ascii="Arial" w:hAnsi="Arial"/>
                <w:sz w:val="16"/>
              </w:rPr>
              <w:t>Babel</w:t>
            </w:r>
          </w:p>
        </w:tc>
        <w:tc>
          <w:tcPr>
            <w:tcW w:type="dxa" w:w="2520"/>
          </w:tcPr>
          <w:p>
            <w:pPr>
              <w:spacing w:after="0"/>
            </w:pPr>
            <w:r>
              <w:rPr>
                <w:rFonts w:ascii="Arial" w:hAnsi="Arial"/>
                <w:sz w:val="16"/>
              </w:rPr>
              <w:t>Der Turmbau von Babel</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3</w:t>
            </w:r>
          </w:p>
        </w:tc>
        <w:tc>
          <w:tcPr>
            <w:tcW w:type="dxa" w:w="2520"/>
          </w:tcPr>
          <w:p>
            <w:pPr>
              <w:spacing w:after="0"/>
            </w:pPr>
            <w:r>
              <w:rPr>
                <w:rFonts w:ascii="Arial" w:hAnsi="Arial"/>
                <w:sz w:val="16"/>
              </w:rPr>
              <w:t>Mose; Genesis</w:t>
            </w:r>
          </w:p>
        </w:tc>
        <w:tc>
          <w:tcPr>
            <w:tcW w:type="dxa" w:w="2520"/>
          </w:tcPr>
          <w:p>
            <w:pPr>
              <w:spacing w:after="0"/>
            </w:pPr>
            <w:r>
              <w:rPr>
                <w:rFonts w:ascii="Arial" w:hAnsi="Arial"/>
                <w:sz w:val="16"/>
              </w:rPr>
              <w:t>Das erste Buch Mose (Genesis)</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96</w:t>
            </w:r>
          </w:p>
        </w:tc>
        <w:tc>
          <w:tcPr>
            <w:tcW w:type="dxa" w:w="2520"/>
          </w:tcPr>
          <w:p>
            <w:pPr>
              <w:spacing w:after="0"/>
            </w:pPr>
            <w:r>
              <w:rPr>
                <w:rFonts w:ascii="Arial" w:hAnsi="Arial"/>
                <w:sz w:val="16"/>
              </w:rPr>
              <w:t>Opfer</w:t>
            </w:r>
          </w:p>
        </w:tc>
        <w:tc>
          <w:tcPr>
            <w:tcW w:type="dxa" w:w="2520"/>
          </w:tcPr>
          <w:p>
            <w:pPr>
              <w:spacing w:after="0"/>
            </w:pPr>
            <w:r>
              <w:rPr>
                <w:rFonts w:ascii="Arial" w:hAnsi="Arial"/>
                <w:sz w:val="16"/>
              </w:rPr>
              <w:t>3 Und es geschah nach geraumer Zeit, daß Kain dem HERRN ein Opfer darbrachte von den Früchten des Erdbodens. 4 Und auch Abel brachte [ein Opfer] dar von den Erstlingen seiner Schafe und von ihrem Fett. Und der HERR sah Abel und sein Opfer an; 5 aber Kain und sein Opfer sah</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199</w:t>
            </w:r>
          </w:p>
        </w:tc>
        <w:tc>
          <w:tcPr>
            <w:tcW w:type="dxa" w:w="2520"/>
          </w:tcPr>
          <w:p>
            <w:pPr>
              <w:spacing w:after="0"/>
            </w:pPr>
            <w:r>
              <w:rPr>
                <w:rFonts w:ascii="Arial" w:hAnsi="Arial"/>
                <w:sz w:val="16"/>
              </w:rPr>
              <w:t>Noah; Opfer</w:t>
            </w:r>
          </w:p>
        </w:tc>
        <w:tc>
          <w:tcPr>
            <w:tcW w:type="dxa" w:w="2520"/>
          </w:tcPr>
          <w:p>
            <w:pPr>
              <w:spacing w:after="0"/>
            </w:pPr>
            <w:r>
              <w:rPr>
                <w:rFonts w:ascii="Arial" w:hAnsi="Arial"/>
                <w:sz w:val="16"/>
              </w:rPr>
              <w:t>Noah verläßt die Arche. Noahs Opfer und Gottes Verheißung</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293</w:t>
            </w:r>
          </w:p>
        </w:tc>
        <w:tc>
          <w:tcPr>
            <w:tcW w:type="dxa" w:w="2520"/>
          </w:tcPr>
          <w:p>
            <w:pPr>
              <w:spacing w:after="0"/>
            </w:pPr>
            <w:r>
              <w:rPr>
                <w:rFonts w:ascii="Arial" w:hAnsi="Arial"/>
                <w:sz w:val="16"/>
              </w:rPr>
              <w:t>Opfer; Menschenopfer</w:t>
            </w:r>
          </w:p>
        </w:tc>
        <w:tc>
          <w:tcPr>
            <w:tcW w:type="dxa" w:w="2520"/>
          </w:tcPr>
          <w:p>
            <w:pPr>
              <w:spacing w:after="0"/>
            </w:pPr>
            <w:r>
              <w:rPr>
                <w:rFonts w:ascii="Arial" w:hAnsi="Arial"/>
                <w:sz w:val="16"/>
              </w:rPr>
              <w:t>richt Gottes kommen sollte (vgl. u.a. 5Mo 9,4-5; 12,29-31; 18,9-14), betrieben eine besonders schlimme Form des Götzendienstes, die u.a. Menschenopfer, alle Formen von Abartigkeiten und kultische Prostitution einschloß.</w:t>
            </w:r>
          </w:p>
        </w:tc>
      </w:tr>
      <w:tr>
        <w:tc>
          <w:tcPr>
            <w:tcW w:type="dxa" w:w="2520"/>
          </w:tcPr>
          <w:p>
            <w:pPr>
              <w:spacing w:after="0"/>
            </w:pPr>
            <w:r>
              <w:rPr>
                <w:rFonts w:ascii="Arial" w:hAnsi="Arial"/>
                <w:sz w:val="16"/>
              </w:rPr>
              <w:t>1_Mose.docx</w:t>
            </w:r>
          </w:p>
        </w:tc>
        <w:tc>
          <w:tcPr>
            <w:tcW w:type="dxa" w:w="2520"/>
          </w:tcPr>
          <w:p>
            <w:pPr>
              <w:spacing w:after="0"/>
            </w:pPr>
            <w:r>
              <w:rPr>
                <w:rFonts w:ascii="Arial" w:hAnsi="Arial"/>
                <w:sz w:val="16"/>
              </w:rPr>
              <w:t>270</w:t>
            </w:r>
          </w:p>
        </w:tc>
        <w:tc>
          <w:tcPr>
            <w:tcW w:type="dxa" w:w="2520"/>
          </w:tcPr>
          <w:p>
            <w:pPr>
              <w:spacing w:after="0"/>
            </w:pPr>
            <w:r>
              <w:rPr>
                <w:rFonts w:ascii="Arial" w:hAnsi="Arial"/>
                <w:sz w:val="16"/>
              </w:rPr>
              <w:t>Plagen</w:t>
            </w:r>
          </w:p>
        </w:tc>
        <w:tc>
          <w:tcPr>
            <w:tcW w:type="dxa" w:w="2520"/>
          </w:tcPr>
          <w:p>
            <w:pPr>
              <w:spacing w:after="0"/>
            </w:pPr>
            <w:r>
              <w:rPr>
                <w:rFonts w:ascii="Arial" w:hAnsi="Arial"/>
                <w:sz w:val="16"/>
              </w:rPr>
              <w:t>17 Aber der HERR schlug den Pharao und sein Haus mit großen Plagen um Sarais, der Frau Abrams, willen. 18 Da rief der Pharao den Abram und sprach: Was hast du mir da angetan! Warum hast du mir nicht mitgeteilt, daß sie deine Frau ist? 19 Warum hast du gesagt: »Sie ist meine Schwester«, so daß ich sie mir zur Frau nehmen wollte? Und nun siehe, da ist deine Fr</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540</w:t>
            </w:r>
          </w:p>
        </w:tc>
        <w:tc>
          <w:tcPr>
            <w:tcW w:type="dxa" w:w="2520"/>
          </w:tcPr>
          <w:p>
            <w:pPr>
              <w:spacing w:after="0"/>
            </w:pPr>
            <w:r>
              <w:rPr>
                <w:rFonts w:ascii="Arial" w:hAnsi="Arial"/>
                <w:sz w:val="16"/>
              </w:rPr>
              <w:t>Adam</w:t>
            </w:r>
          </w:p>
        </w:tc>
        <w:tc>
          <w:tcPr>
            <w:tcW w:type="dxa" w:w="2520"/>
          </w:tcPr>
          <w:p>
            <w:pPr>
              <w:spacing w:after="0"/>
            </w:pPr>
            <w:r>
              <w:rPr>
                <w:rFonts w:ascii="Arial" w:hAnsi="Arial"/>
                <w:sz w:val="16"/>
              </w:rPr>
              <w:t>- vgl. Gen 3, 17-19: Fluch seit Adam über den Menschen Menschliche Arbeit ist mit Mühe verbunden. Ursage nicht historisch auf Israel bezogen sondern auf die ganze Menschheit.</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548</w:t>
            </w:r>
          </w:p>
        </w:tc>
        <w:tc>
          <w:tcPr>
            <w:tcW w:type="dxa" w:w="2520"/>
          </w:tcPr>
          <w:p>
            <w:pPr>
              <w:spacing w:after="0"/>
            </w:pPr>
            <w:r>
              <w:rPr>
                <w:rFonts w:ascii="Arial" w:hAnsi="Arial"/>
                <w:sz w:val="16"/>
              </w:rPr>
              <w:t>Adam; Noah</w:t>
            </w:r>
          </w:p>
        </w:tc>
        <w:tc>
          <w:tcPr>
            <w:tcW w:type="dxa" w:w="2520"/>
          </w:tcPr>
          <w:p>
            <w:pPr>
              <w:spacing w:after="0"/>
            </w:pPr>
            <w:r>
              <w:rPr>
                <w:rFonts w:ascii="Arial" w:hAnsi="Arial"/>
                <w:sz w:val="16"/>
              </w:rPr>
              <w:t>- P: Gen 5 . 11, 10ff. Adam bis Noah, Sem bis Abraham</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563</w:t>
            </w:r>
          </w:p>
        </w:tc>
        <w:tc>
          <w:tcPr>
            <w:tcW w:type="dxa" w:w="2520"/>
          </w:tcPr>
          <w:p>
            <w:pPr>
              <w:spacing w:after="0"/>
            </w:pPr>
            <w:r>
              <w:rPr>
                <w:rFonts w:ascii="Arial" w:hAnsi="Arial"/>
                <w:sz w:val="16"/>
              </w:rPr>
              <w:t>Noah; Sintflut</w:t>
            </w:r>
          </w:p>
        </w:tc>
        <w:tc>
          <w:tcPr>
            <w:tcW w:type="dxa" w:w="2520"/>
          </w:tcPr>
          <w:p>
            <w:pPr>
              <w:spacing w:after="0"/>
            </w:pPr>
            <w:r>
              <w:rPr>
                <w:rFonts w:ascii="Arial" w:hAnsi="Arial"/>
                <w:sz w:val="16"/>
              </w:rPr>
              <w:t>- wichtigste P: Gen 9, 8-11: Noah-Bund: Gott bringt keine Sintflut mehr!</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560</w:t>
            </w:r>
          </w:p>
        </w:tc>
        <w:tc>
          <w:tcPr>
            <w:tcW w:type="dxa" w:w="2520"/>
          </w:tcPr>
          <w:p>
            <w:pPr>
              <w:spacing w:after="0"/>
            </w:pPr>
            <w:r>
              <w:rPr>
                <w:rFonts w:ascii="Arial" w:hAnsi="Arial"/>
                <w:sz w:val="16"/>
              </w:rPr>
              <w:t>Sintflut</w:t>
            </w:r>
          </w:p>
        </w:tc>
        <w:tc>
          <w:tcPr>
            <w:tcW w:type="dxa" w:w="2520"/>
          </w:tcPr>
          <w:p>
            <w:pPr>
              <w:spacing w:after="0"/>
            </w:pPr>
            <w:r>
              <w:rPr>
                <w:rFonts w:ascii="Arial" w:hAnsi="Arial"/>
                <w:sz w:val="16"/>
              </w:rPr>
              <w:t>- auch Erhaltung der Schöpfung: Sintfluterzählung: Gen 6-9 (J und P durcheinander)</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435</w:t>
            </w:r>
          </w:p>
        </w:tc>
        <w:tc>
          <w:tcPr>
            <w:tcW w:type="dxa" w:w="2520"/>
          </w:tcPr>
          <w:p>
            <w:pPr>
              <w:spacing w:after="0"/>
            </w:pPr>
            <w:r>
              <w:rPr>
                <w:rFonts w:ascii="Arial" w:hAnsi="Arial"/>
                <w:sz w:val="16"/>
              </w:rPr>
              <w:t>Babel</w:t>
            </w:r>
          </w:p>
        </w:tc>
        <w:tc>
          <w:tcPr>
            <w:tcW w:type="dxa" w:w="2520"/>
          </w:tcPr>
          <w:p>
            <w:pPr>
              <w:spacing w:after="0"/>
            </w:pPr>
            <w:r>
              <w:rPr>
                <w:rFonts w:ascii="Arial" w:hAnsi="Arial"/>
                <w:sz w:val="16"/>
              </w:rPr>
              <w:t>ii) Etymologische Ätiologie (Gen 11, 9) für den Namen Babel gegeben</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570</w:t>
            </w:r>
          </w:p>
        </w:tc>
        <w:tc>
          <w:tcPr>
            <w:tcW w:type="dxa" w:w="2520"/>
          </w:tcPr>
          <w:p>
            <w:pPr>
              <w:spacing w:after="0"/>
            </w:pPr>
            <w:r>
              <w:rPr>
                <w:rFonts w:ascii="Arial" w:hAnsi="Arial"/>
                <w:sz w:val="16"/>
              </w:rPr>
              <w:t>Babel</w:t>
            </w:r>
          </w:p>
        </w:tc>
        <w:tc>
          <w:tcPr>
            <w:tcW w:type="dxa" w:w="2520"/>
          </w:tcPr>
          <w:p>
            <w:pPr>
              <w:spacing w:after="0"/>
            </w:pPr>
            <w:r>
              <w:rPr>
                <w:rFonts w:ascii="Arial" w:hAnsi="Arial"/>
                <w:sz w:val="16"/>
              </w:rPr>
              <w:t>Auch Gefahren des Fortschritts werden betont: Gen 11,1ff. Turmbau zu Babel</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293</w:t>
            </w:r>
          </w:p>
        </w:tc>
        <w:tc>
          <w:tcPr>
            <w:tcW w:type="dxa" w:w="2520"/>
          </w:tcPr>
          <w:p>
            <w:pPr>
              <w:spacing w:after="0"/>
            </w:pPr>
            <w:r>
              <w:rPr>
                <w:rFonts w:ascii="Arial" w:hAnsi="Arial"/>
                <w:sz w:val="16"/>
              </w:rPr>
              <w:t>Elohim</w:t>
            </w:r>
          </w:p>
        </w:tc>
        <w:tc>
          <w:tcPr>
            <w:tcW w:type="dxa" w:w="2520"/>
          </w:tcPr>
          <w:p>
            <w:pPr>
              <w:spacing w:after="0"/>
            </w:pPr>
            <w:r>
              <w:rPr>
                <w:rFonts w:ascii="Arial" w:hAnsi="Arial"/>
                <w:sz w:val="16"/>
              </w:rPr>
              <w:t>2) 2 Elohim- Quellen</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818</w:t>
            </w:r>
          </w:p>
        </w:tc>
        <w:tc>
          <w:tcPr>
            <w:tcW w:type="dxa" w:w="2520"/>
          </w:tcPr>
          <w:p>
            <w:pPr>
              <w:spacing w:after="0"/>
            </w:pPr>
            <w:r>
              <w:rPr>
                <w:rFonts w:ascii="Arial" w:hAnsi="Arial"/>
                <w:sz w:val="16"/>
              </w:rPr>
              <w:t>Elohim</w:t>
            </w:r>
          </w:p>
        </w:tc>
        <w:tc>
          <w:tcPr>
            <w:tcW w:type="dxa" w:w="2520"/>
          </w:tcPr>
          <w:p>
            <w:pPr>
              <w:spacing w:after="0"/>
            </w:pPr>
            <w:r>
              <w:rPr>
                <w:rFonts w:ascii="Arial" w:hAnsi="Arial"/>
                <w:sz w:val="16"/>
              </w:rPr>
              <w:t>a) für Menschheit (Gen 1-11*) „elohim“ (= Gott)</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55</w:t>
            </w:r>
          </w:p>
        </w:tc>
        <w:tc>
          <w:tcPr>
            <w:tcW w:type="dxa" w:w="2520"/>
          </w:tcPr>
          <w:p>
            <w:pPr>
              <w:spacing w:after="0"/>
            </w:pPr>
            <w:r>
              <w:rPr>
                <w:rFonts w:ascii="Arial" w:hAnsi="Arial"/>
                <w:sz w:val="16"/>
              </w:rPr>
              <w:t>Jahwe</w:t>
            </w:r>
          </w:p>
        </w:tc>
        <w:tc>
          <w:tcPr>
            <w:tcW w:type="dxa" w:w="2520"/>
          </w:tcPr>
          <w:p>
            <w:pPr>
              <w:spacing w:after="0"/>
            </w:pPr>
            <w:r>
              <w:rPr>
                <w:rFonts w:ascii="Arial" w:hAnsi="Arial"/>
                <w:sz w:val="16"/>
              </w:rPr>
              <w:t>b) Gott der Herr (hebräisch: Jahwe)</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288</w:t>
            </w:r>
          </w:p>
        </w:tc>
        <w:tc>
          <w:tcPr>
            <w:tcW w:type="dxa" w:w="2520"/>
          </w:tcPr>
          <w:p>
            <w:pPr>
              <w:spacing w:after="0"/>
            </w:pPr>
            <w:r>
              <w:rPr>
                <w:rFonts w:ascii="Arial" w:hAnsi="Arial"/>
                <w:sz w:val="16"/>
              </w:rPr>
              <w:t>Jahwe</w:t>
            </w:r>
          </w:p>
        </w:tc>
        <w:tc>
          <w:tcPr>
            <w:tcW w:type="dxa" w:w="2520"/>
          </w:tcPr>
          <w:p>
            <w:pPr>
              <w:spacing w:after="0"/>
            </w:pPr>
            <w:r>
              <w:rPr>
                <w:rFonts w:ascii="Arial" w:hAnsi="Arial"/>
                <w:sz w:val="16"/>
              </w:rPr>
              <w:t>Jahwe (Gen 2,4bff) J</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30</w:t>
            </w:r>
          </w:p>
        </w:tc>
        <w:tc>
          <w:tcPr>
            <w:tcW w:type="dxa" w:w="2520"/>
          </w:tcPr>
          <w:p>
            <w:pPr>
              <w:spacing w:after="0"/>
            </w:pPr>
            <w:r>
              <w:rPr>
                <w:rFonts w:ascii="Arial" w:hAnsi="Arial"/>
                <w:sz w:val="16"/>
              </w:rPr>
              <w:t>Dekalog</w:t>
            </w:r>
          </w:p>
        </w:tc>
        <w:tc>
          <w:tcPr>
            <w:tcW w:type="dxa" w:w="2520"/>
          </w:tcPr>
          <w:p>
            <w:pPr>
              <w:spacing w:after="0"/>
            </w:pPr>
            <w:r>
              <w:rPr>
                <w:rFonts w:ascii="Arial" w:hAnsi="Arial"/>
                <w:sz w:val="16"/>
              </w:rPr>
              <w:t>§ 6) Die Rechtsüberlieferung des Pentateuch und der Dekalog 15</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303</w:t>
            </w:r>
          </w:p>
        </w:tc>
        <w:tc>
          <w:tcPr>
            <w:tcW w:type="dxa" w:w="2520"/>
          </w:tcPr>
          <w:p>
            <w:pPr>
              <w:spacing w:after="0"/>
            </w:pPr>
            <w:r>
              <w:rPr>
                <w:rFonts w:ascii="Arial" w:hAnsi="Arial"/>
                <w:sz w:val="16"/>
              </w:rPr>
              <w:t>Dekalog</w:t>
            </w:r>
          </w:p>
        </w:tc>
        <w:tc>
          <w:tcPr>
            <w:tcW w:type="dxa" w:w="2520"/>
          </w:tcPr>
          <w:p>
            <w:pPr>
              <w:spacing w:after="0"/>
            </w:pPr>
            <w:r>
              <w:rPr>
                <w:rFonts w:ascii="Arial" w:hAnsi="Arial"/>
                <w:sz w:val="16"/>
              </w:rPr>
              <w:t>- z.B. Dekalog (Ex 20ff, Dtn 5); Bundesbuch (Ex 20,22-23,19) Vordeuteronomium (Dtn 12- 26*)</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707</w:t>
            </w:r>
          </w:p>
        </w:tc>
        <w:tc>
          <w:tcPr>
            <w:tcW w:type="dxa" w:w="2520"/>
          </w:tcPr>
          <w:p>
            <w:pPr>
              <w:spacing w:after="0"/>
            </w:pPr>
            <w:r>
              <w:rPr>
                <w:rFonts w:ascii="Arial" w:hAnsi="Arial"/>
                <w:sz w:val="16"/>
              </w:rPr>
              <w:t>10 Gebote</w:t>
            </w:r>
          </w:p>
        </w:tc>
        <w:tc>
          <w:tcPr>
            <w:tcW w:type="dxa" w:w="2520"/>
          </w:tcPr>
          <w:p>
            <w:pPr>
              <w:spacing w:after="0"/>
            </w:pPr>
            <w:r>
              <w:rPr>
                <w:rFonts w:ascii="Arial" w:hAnsi="Arial"/>
                <w:sz w:val="16"/>
              </w:rPr>
              <w:t>1. Vorstufen der 10 Gebote</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230</w:t>
            </w:r>
          </w:p>
        </w:tc>
        <w:tc>
          <w:tcPr>
            <w:tcW w:type="dxa" w:w="2520"/>
          </w:tcPr>
          <w:p>
            <w:pPr>
              <w:spacing w:after="0"/>
            </w:pPr>
            <w:r>
              <w:rPr>
                <w:rFonts w:ascii="Arial" w:hAnsi="Arial"/>
                <w:sz w:val="16"/>
              </w:rPr>
              <w:t>Mose; Genesis</w:t>
            </w:r>
          </w:p>
        </w:tc>
        <w:tc>
          <w:tcPr>
            <w:tcW w:type="dxa" w:w="2520"/>
          </w:tcPr>
          <w:p>
            <w:pPr>
              <w:spacing w:after="0"/>
            </w:pPr>
            <w:r>
              <w:rPr>
                <w:rFonts w:ascii="Arial" w:hAnsi="Arial"/>
                <w:sz w:val="16"/>
              </w:rPr>
              <w:t>1. Mose Genesis Entstehung Schöpfung</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285</w:t>
            </w:r>
          </w:p>
        </w:tc>
        <w:tc>
          <w:tcPr>
            <w:tcW w:type="dxa" w:w="2520"/>
          </w:tcPr>
          <w:p>
            <w:pPr>
              <w:spacing w:after="0"/>
            </w:pPr>
            <w:r>
              <w:rPr>
                <w:rFonts w:ascii="Arial" w:hAnsi="Arial"/>
                <w:sz w:val="16"/>
              </w:rPr>
              <w:t>Genesis</w:t>
            </w:r>
          </w:p>
        </w:tc>
        <w:tc>
          <w:tcPr>
            <w:tcW w:type="dxa" w:w="2520"/>
          </w:tcPr>
          <w:p>
            <w:pPr>
              <w:spacing w:after="0"/>
            </w:pPr>
            <w:r>
              <w:rPr>
                <w:rFonts w:ascii="Arial" w:hAnsi="Arial"/>
                <w:sz w:val="16"/>
              </w:rPr>
              <w:t>- Jean Asruc; 1753: In Genesis: Aufgrund unterschiedlicher Gottesbezeichnungen</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234</w:t>
            </w:r>
          </w:p>
        </w:tc>
        <w:tc>
          <w:tcPr>
            <w:tcW w:type="dxa" w:w="2520"/>
          </w:tcPr>
          <w:p>
            <w:pPr>
              <w:spacing w:after="0"/>
            </w:pPr>
            <w:r>
              <w:rPr>
                <w:rFonts w:ascii="Arial" w:hAnsi="Arial"/>
                <w:sz w:val="16"/>
              </w:rPr>
              <w:t>Mose; Opfer</w:t>
            </w:r>
          </w:p>
        </w:tc>
        <w:tc>
          <w:tcPr>
            <w:tcW w:type="dxa" w:w="2520"/>
          </w:tcPr>
          <w:p>
            <w:pPr>
              <w:spacing w:after="0"/>
            </w:pPr>
            <w:r>
              <w:rPr>
                <w:rFonts w:ascii="Arial" w:hAnsi="Arial"/>
                <w:sz w:val="16"/>
              </w:rPr>
              <w:t>3. Mose Levitikus Priesterliche Gesetze Lev 1-7 Opfer</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369</w:t>
            </w:r>
          </w:p>
        </w:tc>
        <w:tc>
          <w:tcPr>
            <w:tcW w:type="dxa" w:w="2520"/>
          </w:tcPr>
          <w:p>
            <w:pPr>
              <w:spacing w:after="0"/>
            </w:pPr>
            <w:r>
              <w:rPr>
                <w:rFonts w:ascii="Arial" w:hAnsi="Arial"/>
                <w:sz w:val="16"/>
              </w:rPr>
              <w:t>Opfer</w:t>
            </w:r>
          </w:p>
        </w:tc>
        <w:tc>
          <w:tcPr>
            <w:tcW w:type="dxa" w:w="2520"/>
          </w:tcPr>
          <w:p>
            <w:pPr>
              <w:spacing w:after="0"/>
            </w:pPr>
            <w:r>
              <w:rPr>
                <w:rFonts w:ascii="Arial" w:hAnsi="Arial"/>
                <w:sz w:val="16"/>
              </w:rPr>
              <w:t>- z.B. ist Gen 22, 1-19 (Opferung Isaaks) auch ohne Vorwissen über Gen 1-21 zu verstehen</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765</w:t>
            </w:r>
          </w:p>
        </w:tc>
        <w:tc>
          <w:tcPr>
            <w:tcW w:type="dxa" w:w="2520"/>
          </w:tcPr>
          <w:p>
            <w:pPr>
              <w:spacing w:after="0"/>
            </w:pPr>
            <w:r>
              <w:rPr>
                <w:rFonts w:ascii="Arial" w:hAnsi="Arial"/>
                <w:sz w:val="16"/>
              </w:rPr>
              <w:t>Mose; Plagen</w:t>
            </w:r>
          </w:p>
        </w:tc>
        <w:tc>
          <w:tcPr>
            <w:tcW w:type="dxa" w:w="2520"/>
          </w:tcPr>
          <w:p>
            <w:pPr>
              <w:spacing w:after="0"/>
            </w:pPr>
            <w:r>
              <w:rPr>
                <w:rFonts w:ascii="Arial" w:hAnsi="Arial"/>
                <w:sz w:val="16"/>
              </w:rPr>
              <w:t>3. Exodusgeschichte: Ex 6-14* Mose, Plagen, Meerwunder</w:t>
            </w:r>
          </w:p>
        </w:tc>
      </w:tr>
      <w:tr>
        <w:tc>
          <w:tcPr>
            <w:tcW w:type="dxa" w:w="2520"/>
          </w:tcPr>
          <w:p>
            <w:pPr>
              <w:spacing w:after="0"/>
            </w:pPr>
            <w:r>
              <w:rPr>
                <w:rFonts w:ascii="Arial" w:hAnsi="Arial"/>
                <w:sz w:val="16"/>
              </w:rPr>
              <w:t>evReli_1_Altes_Testament_Pentateuch.docx</w:t>
            </w:r>
          </w:p>
        </w:tc>
        <w:tc>
          <w:tcPr>
            <w:tcW w:type="dxa" w:w="2520"/>
          </w:tcPr>
          <w:p>
            <w:pPr>
              <w:spacing w:after="0"/>
            </w:pPr>
            <w:r>
              <w:rPr>
                <w:rFonts w:ascii="Arial" w:hAnsi="Arial"/>
                <w:sz w:val="16"/>
              </w:rPr>
              <w:t>1068</w:t>
            </w:r>
          </w:p>
        </w:tc>
        <w:tc>
          <w:tcPr>
            <w:tcW w:type="dxa" w:w="2520"/>
          </w:tcPr>
          <w:p>
            <w:pPr>
              <w:spacing w:after="0"/>
            </w:pPr>
            <w:r>
              <w:rPr>
                <w:rFonts w:ascii="Arial" w:hAnsi="Arial"/>
                <w:sz w:val="16"/>
              </w:rPr>
              <w:t>Plagen</w:t>
            </w:r>
          </w:p>
        </w:tc>
        <w:tc>
          <w:tcPr>
            <w:tcW w:type="dxa" w:w="2520"/>
          </w:tcPr>
          <w:p>
            <w:pPr>
              <w:spacing w:after="0"/>
            </w:pPr>
            <w:r>
              <w:rPr>
                <w:rFonts w:ascii="Arial" w:hAnsi="Arial"/>
                <w:sz w:val="16"/>
              </w:rPr>
              <w:t>- Losziehen ohne Verhandlung und ohne Plagen (Ex 14, 5a)</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165</w:t>
            </w:r>
          </w:p>
        </w:tc>
        <w:tc>
          <w:tcPr>
            <w:tcW w:type="dxa" w:w="2520"/>
          </w:tcPr>
          <w:p>
            <w:pPr>
              <w:spacing w:after="0"/>
            </w:pPr>
            <w:r>
              <w:rPr>
                <w:rFonts w:ascii="Arial" w:hAnsi="Arial"/>
                <w:sz w:val="16"/>
              </w:rPr>
              <w:t>Eva; Mose</w:t>
            </w:r>
          </w:p>
        </w:tc>
        <w:tc>
          <w:tcPr>
            <w:tcW w:type="dxa" w:w="2520"/>
          </w:tcPr>
          <w:p>
            <w:pPr>
              <w:spacing w:after="0"/>
            </w:pPr>
            <w:r>
              <w:rPr>
                <w:rFonts w:ascii="Arial" w:hAnsi="Arial"/>
                <w:sz w:val="16"/>
              </w:rPr>
              <w:t>Der jüdische Talmud und das christliche Neue Testament schreiben diese fünf Bücher dem Mose zu und betrachten die Ereignisse von der Schöpfung bis zur Landverteilung in Kanaan (Dtn 33) als direkte Offenbarung Gottes an ihn. Das 5. Buch Mose endet mit dem Kapitel über seinen Tod (Dtn 34), das der Talmud demgemäß seinem Nachfolger Josua zuschreibt. Mose habe d</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174</w:t>
            </w:r>
          </w:p>
        </w:tc>
        <w:tc>
          <w:tcPr>
            <w:tcW w:type="dxa" w:w="2520"/>
          </w:tcPr>
          <w:p>
            <w:pPr>
              <w:spacing w:after="0"/>
            </w:pPr>
            <w:r>
              <w:rPr>
                <w:rFonts w:ascii="Arial" w:hAnsi="Arial"/>
                <w:sz w:val="16"/>
              </w:rPr>
              <w:t>Sintflut</w:t>
            </w:r>
          </w:p>
        </w:tc>
        <w:tc>
          <w:tcPr>
            <w:tcW w:type="dxa" w:w="2520"/>
          </w:tcPr>
          <w:p>
            <w:pPr>
              <w:spacing w:after="0"/>
            </w:pPr>
            <w:r>
              <w:rPr>
                <w:rFonts w:ascii="Arial" w:hAnsi="Arial"/>
                <w:sz w:val="16"/>
              </w:rPr>
              <w:t>zwei Versionen von der Dauer der Sintflut, vom Bau der Arche und der Rettung der Tiere in Gen 6-8;</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185</w:t>
            </w:r>
          </w:p>
        </w:tc>
        <w:tc>
          <w:tcPr>
            <w:tcW w:type="dxa" w:w="2520"/>
          </w:tcPr>
          <w:p>
            <w:pPr>
              <w:spacing w:after="0"/>
            </w:pPr>
            <w:r>
              <w:rPr>
                <w:rFonts w:ascii="Arial" w:hAnsi="Arial"/>
                <w:sz w:val="16"/>
              </w:rPr>
              <w:t>Sintflut</w:t>
            </w:r>
          </w:p>
        </w:tc>
        <w:tc>
          <w:tcPr>
            <w:tcW w:type="dxa" w:w="2520"/>
          </w:tcPr>
          <w:p>
            <w:pPr>
              <w:spacing w:after="0"/>
            </w:pPr>
            <w:r>
              <w:rPr>
                <w:rFonts w:ascii="Arial" w:hAnsi="Arial"/>
                <w:sz w:val="16"/>
              </w:rPr>
              <w:t>Die so genannte Fragmentenhypothese ging von zahlreichen, ehedem selbständigen Erzählkränzen aus, die erst sukzessive zu einer Gesamterzählung zusammengearbeitet wurden. Unter einem Erzählkranz versteht die Forschung eine in sich geschlossene Gruppe von Episoden zu einem bestimmten Thema oder einer bestimmten Person, wie etwa die Erzählungen um den Stammvate</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3</w:t>
            </w:r>
          </w:p>
        </w:tc>
        <w:tc>
          <w:tcPr>
            <w:tcW w:type="dxa" w:w="2520"/>
          </w:tcPr>
          <w:p>
            <w:pPr>
              <w:spacing w:after="0"/>
            </w:pPr>
            <w:r>
              <w:rPr>
                <w:rFonts w:ascii="Arial" w:hAnsi="Arial"/>
                <w:sz w:val="16"/>
              </w:rPr>
              <w:t>Elohim; JHWH</w:t>
            </w:r>
          </w:p>
        </w:tc>
        <w:tc>
          <w:tcPr>
            <w:tcW w:type="dxa" w:w="2520"/>
          </w:tcPr>
          <w:p>
            <w:pPr>
              <w:spacing w:after="0"/>
            </w:pPr>
            <w:r>
              <w:rPr>
                <w:rFonts w:ascii="Arial" w:hAnsi="Arial"/>
                <w:sz w:val="16"/>
              </w:rPr>
              <w:t>Elohim (heb. אלהים ělohīm), in aschkenasischer Aussprache Elauhim, Eloihim, ist in der hebräischen Bibel – dem Tanach – der plurale Allgemeinbegriff für „Gott“. Er wird hier nahezu ausschließlich für JHWH, den Gott der Israeliten, gebraucht, besonders in seiner Eigenschaft als Schöpfer der Welt und in Polemiken gegen die Verehrung fremder Götter in Israel.</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5</w:t>
            </w:r>
          </w:p>
        </w:tc>
        <w:tc>
          <w:tcPr>
            <w:tcW w:type="dxa" w:w="2520"/>
          </w:tcPr>
          <w:p>
            <w:pPr>
              <w:spacing w:after="0"/>
            </w:pPr>
            <w:r>
              <w:rPr>
                <w:rFonts w:ascii="Arial" w:hAnsi="Arial"/>
                <w:sz w:val="16"/>
              </w:rPr>
              <w:t>Elohim</w:t>
            </w:r>
          </w:p>
        </w:tc>
        <w:tc>
          <w:tcPr>
            <w:tcW w:type="dxa" w:w="2520"/>
          </w:tcPr>
          <w:p>
            <w:pPr>
              <w:spacing w:after="0"/>
            </w:pPr>
            <w:r>
              <w:rPr>
                <w:rFonts w:ascii="Arial" w:hAnsi="Arial"/>
                <w:sz w:val="16"/>
              </w:rPr>
              <w:t>Elohim ist grammatisch der Plural zu Eloah. Bezieht der Plural sich auf den Gott Israels, erscheint er in der Bibel immer mit Verbformen im Singular und wird dann mit „Gott“ übersetzt. Nur wenn von „(anderen) Göttern“ die Rede ist, steht auch das Verb im Plural.</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10</w:t>
            </w:r>
          </w:p>
        </w:tc>
        <w:tc>
          <w:tcPr>
            <w:tcW w:type="dxa" w:w="2520"/>
          </w:tcPr>
          <w:p>
            <w:pPr>
              <w:spacing w:after="0"/>
            </w:pPr>
            <w:r>
              <w:rPr>
                <w:rFonts w:ascii="Arial" w:hAnsi="Arial"/>
                <w:sz w:val="16"/>
              </w:rPr>
              <w:t>JHWH</w:t>
            </w:r>
          </w:p>
        </w:tc>
        <w:tc>
          <w:tcPr>
            <w:tcW w:type="dxa" w:w="2520"/>
          </w:tcPr>
          <w:p>
            <w:pPr>
              <w:spacing w:after="0"/>
            </w:pPr>
            <w:r>
              <w:rPr>
                <w:rFonts w:ascii="Arial" w:hAnsi="Arial"/>
                <w:sz w:val="16"/>
              </w:rPr>
              <w:t>„Du [JHWH] hast ihn [den Menschen] wenig niedriger gemacht als Gott …“</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88</w:t>
            </w:r>
          </w:p>
        </w:tc>
        <w:tc>
          <w:tcPr>
            <w:tcW w:type="dxa" w:w="2520"/>
          </w:tcPr>
          <w:p>
            <w:pPr>
              <w:spacing w:after="0"/>
            </w:pPr>
            <w:r>
              <w:rPr>
                <w:rFonts w:ascii="Arial" w:hAnsi="Arial"/>
                <w:sz w:val="16"/>
              </w:rPr>
              <w:t>Elohim; JHWH; Jahwe</w:t>
            </w:r>
          </w:p>
        </w:tc>
        <w:tc>
          <w:tcPr>
            <w:tcW w:type="dxa" w:w="2520"/>
          </w:tcPr>
          <w:p>
            <w:pPr>
              <w:spacing w:after="0"/>
            </w:pPr>
            <w:r>
              <w:rPr>
                <w:rFonts w:ascii="Arial" w:hAnsi="Arial"/>
                <w:sz w:val="16"/>
              </w:rPr>
              <w:t>Da nach biblischer Auffassung nur Gott selbst seinen Namen kennt und aussprechen kann, wurde die Aussprache von JHWH in jüdischer Tradition vermieden und durch Umschreibungen ersetzt. Diese Ehrfurcht vor der Heiligkeit Gottes zeigten die Masoreten, die zwischen 700 und 1000 n. Chr. den hebräischen Konsonantentext vokalisierten, indem sie das Tetragramm mit a</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159</w:t>
            </w:r>
          </w:p>
        </w:tc>
        <w:tc>
          <w:tcPr>
            <w:tcW w:type="dxa" w:w="2520"/>
          </w:tcPr>
          <w:p>
            <w:pPr>
              <w:spacing w:after="0"/>
            </w:pPr>
            <w:r>
              <w:rPr>
                <w:rFonts w:ascii="Arial" w:hAnsi="Arial"/>
                <w:sz w:val="16"/>
              </w:rPr>
              <w:t>Dekalog</w:t>
            </w:r>
          </w:p>
        </w:tc>
        <w:tc>
          <w:tcPr>
            <w:tcW w:type="dxa" w:w="2520"/>
          </w:tcPr>
          <w:p>
            <w:pPr>
              <w:spacing w:after="0"/>
            </w:pPr>
            <w:r>
              <w:rPr>
                <w:rFonts w:ascii="Arial" w:hAnsi="Arial"/>
                <w:sz w:val="16"/>
              </w:rPr>
              <w:t>den Dekalog (Ex 20; Dtn 5),</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129</w:t>
            </w:r>
          </w:p>
        </w:tc>
        <w:tc>
          <w:tcPr>
            <w:tcW w:type="dxa" w:w="2520"/>
          </w:tcPr>
          <w:p>
            <w:pPr>
              <w:spacing w:after="0"/>
            </w:pPr>
            <w:r>
              <w:rPr>
                <w:rFonts w:ascii="Arial" w:hAnsi="Arial"/>
                <w:sz w:val="16"/>
              </w:rPr>
              <w:t>Mose; Genesis</w:t>
            </w:r>
          </w:p>
        </w:tc>
        <w:tc>
          <w:tcPr>
            <w:tcW w:type="dxa" w:w="2520"/>
          </w:tcPr>
          <w:p>
            <w:pPr>
              <w:spacing w:after="0"/>
            </w:pPr>
            <w:r>
              <w:rPr>
                <w:rFonts w:ascii="Arial" w:hAnsi="Arial"/>
                <w:sz w:val="16"/>
              </w:rPr>
              <w:t>Das 1. Buch Mose („Genesis") enthält die</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179</w:t>
            </w:r>
          </w:p>
        </w:tc>
        <w:tc>
          <w:tcPr>
            <w:tcW w:type="dxa" w:w="2520"/>
          </w:tcPr>
          <w:p>
            <w:pPr>
              <w:spacing w:after="0"/>
            </w:pPr>
            <w:r>
              <w:rPr>
                <w:rFonts w:ascii="Arial" w:hAnsi="Arial"/>
                <w:sz w:val="16"/>
              </w:rPr>
              <w:t>Mose; Genesis</w:t>
            </w:r>
          </w:p>
        </w:tc>
        <w:tc>
          <w:tcPr>
            <w:tcW w:type="dxa" w:w="2520"/>
          </w:tcPr>
          <w:p>
            <w:pPr>
              <w:spacing w:after="0"/>
            </w:pPr>
            <w:r>
              <w:rPr>
                <w:rFonts w:ascii="Arial" w:hAnsi="Arial"/>
                <w:sz w:val="16"/>
              </w:rPr>
              <w:t>Erst der Franzose Jean Astruc, welcher der Leibarzt des französischen Königs Ludwig XV. war, baute die These Witters 1753 aus und stieß damit die kritische Forschung am Alten Testament an. Er rekonstruierte aus den Mehrfachüberlieferungen innerhalb des Pentateuchs (vor allem der Genesis) zwei durchlaufende und zwei weitere kürzere, ehedem selbständige Quelle</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57</w:t>
            </w:r>
          </w:p>
        </w:tc>
        <w:tc>
          <w:tcPr>
            <w:tcW w:type="dxa" w:w="2520"/>
          </w:tcPr>
          <w:p>
            <w:pPr>
              <w:spacing w:after="0"/>
            </w:pPr>
            <w:r>
              <w:rPr>
                <w:rFonts w:ascii="Arial" w:hAnsi="Arial"/>
                <w:sz w:val="16"/>
              </w:rPr>
              <w:t>Opfer</w:t>
            </w:r>
          </w:p>
        </w:tc>
        <w:tc>
          <w:tcPr>
            <w:tcW w:type="dxa" w:w="2520"/>
          </w:tcPr>
          <w:p>
            <w:pPr>
              <w:spacing w:after="0"/>
            </w:pPr>
            <w:r>
              <w:rPr>
                <w:rFonts w:ascii="Arial" w:hAnsi="Arial"/>
                <w:sz w:val="16"/>
              </w:rPr>
              <w:t xml:space="preserve">Die Vätergötter bedurften keiner Wallfahrt zu einem festen Heiligtum und keiner Vermittlung durch Priester, deren Aufgaben der Familienvater übernahm. Sie waren ihren Menschen stets gegenwärtig und wurden wohl ohne Abbild verehrt. Erst im Kulturland wurden ihnen Opfer dargebracht (Gen 31,54; 46,1). Ihre Aufgabe war, die Sippe unterwegs vor allerlei Gefahren </w:t>
            </w:r>
          </w:p>
        </w:tc>
      </w:tr>
      <w:tr>
        <w:tc>
          <w:tcPr>
            <w:tcW w:type="dxa" w:w="2520"/>
          </w:tcPr>
          <w:p>
            <w:pPr>
              <w:spacing w:after="0"/>
            </w:pPr>
            <w:r>
              <w:rPr>
                <w:rFonts w:ascii="Arial" w:hAnsi="Arial"/>
                <w:sz w:val="16"/>
              </w:rPr>
              <w:t>Elohim.docx</w:t>
            </w:r>
          </w:p>
        </w:tc>
        <w:tc>
          <w:tcPr>
            <w:tcW w:type="dxa" w:w="2520"/>
          </w:tcPr>
          <w:p>
            <w:pPr>
              <w:spacing w:after="0"/>
            </w:pPr>
            <w:r>
              <w:rPr>
                <w:rFonts w:ascii="Arial" w:hAnsi="Arial"/>
                <w:sz w:val="16"/>
              </w:rPr>
              <w:t>142</w:t>
            </w:r>
          </w:p>
        </w:tc>
        <w:tc>
          <w:tcPr>
            <w:tcW w:type="dxa" w:w="2520"/>
          </w:tcPr>
          <w:p>
            <w:pPr>
              <w:spacing w:after="0"/>
            </w:pPr>
            <w:r>
              <w:rPr>
                <w:rFonts w:ascii="Arial" w:hAnsi="Arial"/>
                <w:sz w:val="16"/>
              </w:rPr>
              <w:t>Opfer</w:t>
            </w:r>
          </w:p>
        </w:tc>
        <w:tc>
          <w:tcPr>
            <w:tcW w:type="dxa" w:w="2520"/>
          </w:tcPr>
          <w:p>
            <w:pPr>
              <w:spacing w:after="0"/>
            </w:pPr>
            <w:r>
              <w:rPr>
                <w:rFonts w:ascii="Arial" w:hAnsi="Arial"/>
                <w:sz w:val="16"/>
              </w:rPr>
              <w:t>Opfergesetze (Lev 1-7),</w:t>
            </w:r>
          </w:p>
        </w:tc>
      </w:tr>
    </w:tbl>
    <w:p/>
    <w:p>
      <w:pPr>
        <w:pStyle w:val="Heading1"/>
      </w:pPr>
      <w:r>
        <w:t>16. Online-Quellenanker</w:t>
      </w:r>
    </w:p>
    <w:tbl>
      <w:tblPr>
        <w:tblStyle w:val="TableGrid"/>
        <w:tblW w:type="auto" w:w="0"/>
        <w:tblLook w:firstColumn="1" w:firstRow="1" w:lastColumn="0" w:lastRow="0" w:noHBand="0" w:noVBand="1" w:val="04A0"/>
      </w:tblPr>
      <w:tblGrid>
        <w:gridCol w:w="3360"/>
        <w:gridCol w:w="3360"/>
        <w:gridCol w:w="3360"/>
      </w:tblGrid>
      <w:tr>
        <w:tc>
          <w:tcPr>
            <w:tcW w:type="dxa" w:w="3360"/>
          </w:tcPr>
          <w:p>
            <w:r>
              <w:rPr>
                <w:rFonts w:ascii="Arial" w:hAnsi="Arial"/>
                <w:b/>
                <w:sz w:val="17"/>
              </w:rPr>
              <w:t>Quelle</w:t>
            </w:r>
          </w:p>
        </w:tc>
        <w:tc>
          <w:tcPr>
            <w:tcW w:type="dxa" w:w="3360"/>
          </w:tcPr>
          <w:p>
            <w:r>
              <w:rPr>
                <w:rFonts w:ascii="Arial" w:hAnsi="Arial"/>
                <w:b/>
                <w:sz w:val="17"/>
              </w:rPr>
              <w:t>Relevanz</w:t>
            </w:r>
          </w:p>
        </w:tc>
        <w:tc>
          <w:tcPr>
            <w:tcW w:type="dxa" w:w="3360"/>
          </w:tcPr>
          <w:p>
            <w:r>
              <w:rPr>
                <w:rFonts w:ascii="Arial" w:hAnsi="Arial"/>
                <w:b/>
                <w:sz w:val="17"/>
              </w:rPr>
              <w:t>URL</w:t>
            </w:r>
          </w:p>
        </w:tc>
      </w:tr>
      <w:tr>
        <w:tc>
          <w:tcPr>
            <w:tcW w:type="dxa" w:w="3360"/>
          </w:tcPr>
          <w:p>
            <w:pPr>
              <w:spacing w:after="0"/>
            </w:pPr>
            <w:r>
              <w:rPr>
                <w:rFonts w:ascii="Arial" w:hAnsi="Arial"/>
                <w:sz w:val="16"/>
              </w:rPr>
              <w:t>Gen 1,26</w:t>
            </w:r>
          </w:p>
        </w:tc>
        <w:tc>
          <w:tcPr>
            <w:tcW w:type="dxa" w:w="3360"/>
          </w:tcPr>
          <w:p>
            <w:pPr>
              <w:spacing w:after="0"/>
            </w:pPr>
            <w:r>
              <w:rPr>
                <w:rFonts w:ascii="Arial" w:hAnsi="Arial"/>
                <w:sz w:val="16"/>
              </w:rPr>
              <w:t>Pluralform 'Lasst uns Menschen machen'</w:t>
            </w:r>
          </w:p>
        </w:tc>
        <w:tc>
          <w:tcPr>
            <w:tcW w:type="dxa" w:w="3360"/>
          </w:tcPr>
          <w:p>
            <w:pPr>
              <w:spacing w:after="0"/>
            </w:pPr>
            <w:r>
              <w:rPr>
                <w:rFonts w:ascii="Arial" w:hAnsi="Arial"/>
                <w:sz w:val="16"/>
              </w:rPr>
              <w:t>https://biblehub.com/text/genesis/1-26.htm</w:t>
            </w:r>
          </w:p>
        </w:tc>
      </w:tr>
      <w:tr>
        <w:tc>
          <w:tcPr>
            <w:tcW w:type="dxa" w:w="3360"/>
          </w:tcPr>
          <w:p>
            <w:pPr>
              <w:spacing w:after="0"/>
            </w:pPr>
            <w:r>
              <w:rPr>
                <w:rFonts w:ascii="Arial" w:hAnsi="Arial"/>
                <w:sz w:val="16"/>
              </w:rPr>
              <w:t>Dtn 32,8-9</w:t>
            </w:r>
          </w:p>
        </w:tc>
        <w:tc>
          <w:tcPr>
            <w:tcW w:type="dxa" w:w="3360"/>
          </w:tcPr>
          <w:p>
            <w:pPr>
              <w:spacing w:after="0"/>
            </w:pPr>
            <w:r>
              <w:rPr>
                <w:rFonts w:ascii="Arial" w:hAnsi="Arial"/>
                <w:sz w:val="16"/>
              </w:rPr>
              <w:t>ältere Lesarten 'Söhne Gottes'</w:t>
            </w:r>
          </w:p>
        </w:tc>
        <w:tc>
          <w:tcPr>
            <w:tcW w:type="dxa" w:w="3360"/>
          </w:tcPr>
          <w:p>
            <w:pPr>
              <w:spacing w:after="0"/>
            </w:pPr>
            <w:r>
              <w:rPr>
                <w:rFonts w:ascii="Arial" w:hAnsi="Arial"/>
                <w:sz w:val="16"/>
              </w:rPr>
              <w:t>https://www.thetorah.com/article/the-sons-of-israel-or-god-deuteronomy-32-8</w:t>
            </w:r>
          </w:p>
        </w:tc>
      </w:tr>
      <w:tr>
        <w:tc>
          <w:tcPr>
            <w:tcW w:type="dxa" w:w="3360"/>
          </w:tcPr>
          <w:p>
            <w:pPr>
              <w:spacing w:after="0"/>
            </w:pPr>
            <w:r>
              <w:rPr>
                <w:rFonts w:ascii="Arial" w:hAnsi="Arial"/>
                <w:sz w:val="16"/>
              </w:rPr>
              <w:t>Genesis 10</w:t>
            </w:r>
          </w:p>
        </w:tc>
        <w:tc>
          <w:tcPr>
            <w:tcW w:type="dxa" w:w="3360"/>
          </w:tcPr>
          <w:p>
            <w:pPr>
              <w:spacing w:after="0"/>
            </w:pPr>
            <w:r>
              <w:rPr>
                <w:rFonts w:ascii="Arial" w:hAnsi="Arial"/>
                <w:sz w:val="16"/>
              </w:rPr>
              <w:t>Völkertafel als antike geographische Genealogie</w:t>
            </w:r>
          </w:p>
        </w:tc>
        <w:tc>
          <w:tcPr>
            <w:tcW w:type="dxa" w:w="3360"/>
          </w:tcPr>
          <w:p>
            <w:pPr>
              <w:spacing w:after="0"/>
            </w:pPr>
            <w:r>
              <w:rPr>
                <w:rFonts w:ascii="Arial" w:hAnsi="Arial"/>
                <w:sz w:val="16"/>
              </w:rPr>
              <w:t>https://www.thetorah.com/article/the-table-of-nations-the-geography-of-the-world-in-genesis-10</w:t>
            </w:r>
          </w:p>
        </w:tc>
      </w:tr>
      <w:tr>
        <w:tc>
          <w:tcPr>
            <w:tcW w:type="dxa" w:w="3360"/>
          </w:tcPr>
          <w:p>
            <w:pPr>
              <w:spacing w:after="0"/>
            </w:pPr>
            <w:r>
              <w:rPr>
                <w:rFonts w:ascii="Arial" w:hAnsi="Arial"/>
                <w:sz w:val="16"/>
              </w:rPr>
              <w:t>Ex 6,3</w:t>
            </w:r>
          </w:p>
        </w:tc>
        <w:tc>
          <w:tcPr>
            <w:tcW w:type="dxa" w:w="3360"/>
          </w:tcPr>
          <w:p>
            <w:pPr>
              <w:spacing w:after="0"/>
            </w:pPr>
            <w:r>
              <w:rPr>
                <w:rFonts w:ascii="Arial" w:hAnsi="Arial"/>
                <w:sz w:val="16"/>
              </w:rPr>
              <w:t>El Schaddai / JHWH-Spannung</w:t>
            </w:r>
          </w:p>
        </w:tc>
        <w:tc>
          <w:tcPr>
            <w:tcW w:type="dxa" w:w="3360"/>
          </w:tcPr>
          <w:p>
            <w:pPr>
              <w:spacing w:after="0"/>
            </w:pPr>
            <w:r>
              <w:rPr>
                <w:rFonts w:ascii="Arial" w:hAnsi="Arial"/>
                <w:sz w:val="16"/>
              </w:rPr>
              <w:t>https://classic.net.bible.org/passage.php?passage=Exo+6%3A3</w:t>
            </w:r>
          </w:p>
        </w:tc>
      </w:tr>
      <w:tr>
        <w:tc>
          <w:tcPr>
            <w:tcW w:type="dxa" w:w="3360"/>
          </w:tcPr>
          <w:p>
            <w:pPr>
              <w:spacing w:after="0"/>
            </w:pPr>
            <w:r>
              <w:rPr>
                <w:rFonts w:ascii="Arial" w:hAnsi="Arial"/>
                <w:sz w:val="16"/>
              </w:rPr>
              <w:t>Ex 34</w:t>
            </w:r>
          </w:p>
        </w:tc>
        <w:tc>
          <w:tcPr>
            <w:tcW w:type="dxa" w:w="3360"/>
          </w:tcPr>
          <w:p>
            <w:pPr>
              <w:spacing w:after="0"/>
            </w:pPr>
            <w:r>
              <w:rPr>
                <w:rFonts w:ascii="Arial" w:hAnsi="Arial"/>
                <w:sz w:val="16"/>
              </w:rPr>
              <w:t>Ritualdekalog</w:t>
            </w:r>
          </w:p>
        </w:tc>
        <w:tc>
          <w:tcPr>
            <w:tcW w:type="dxa" w:w="3360"/>
          </w:tcPr>
          <w:p>
            <w:pPr>
              <w:spacing w:after="0"/>
            </w:pPr>
            <w:r>
              <w:rPr>
                <w:rFonts w:ascii="Arial" w:hAnsi="Arial"/>
                <w:sz w:val="16"/>
              </w:rPr>
              <w:t>https://enterthebible.org/passage/exodus-3410-28-the-ritual-decalogue/</w:t>
            </w:r>
          </w:p>
        </w:tc>
      </w:tr>
      <w:tr>
        <w:tc>
          <w:tcPr>
            <w:tcW w:type="dxa" w:w="3360"/>
          </w:tcPr>
          <w:p>
            <w:pPr>
              <w:spacing w:after="0"/>
            </w:pPr>
            <w:r>
              <w:rPr>
                <w:rFonts w:ascii="Arial" w:hAnsi="Arial"/>
                <w:sz w:val="16"/>
              </w:rPr>
              <w:t>Levinson 2002</w:t>
            </w:r>
          </w:p>
        </w:tc>
        <w:tc>
          <w:tcPr>
            <w:tcW w:type="dxa" w:w="3360"/>
          </w:tcPr>
          <w:p>
            <w:pPr>
              <w:spacing w:after="0"/>
            </w:pPr>
            <w:r>
              <w:rPr>
                <w:rFonts w:ascii="Arial" w:hAnsi="Arial"/>
                <w:sz w:val="16"/>
              </w:rPr>
              <w:t>Ex 34,11-26 und Ritualdekalog-Forschung</w:t>
            </w:r>
          </w:p>
        </w:tc>
        <w:tc>
          <w:tcPr>
            <w:tcW w:type="dxa" w:w="3360"/>
          </w:tcPr>
          <w:p>
            <w:pPr>
              <w:spacing w:after="0"/>
            </w:pPr>
            <w:r>
              <w:rPr>
                <w:rFonts w:ascii="Arial" w:hAnsi="Arial"/>
                <w:sz w:val="16"/>
              </w:rPr>
              <w:t>https://papers.ssrn.com/sol3/papers.cfm?abstract_id=1848205</w:t>
            </w:r>
          </w:p>
        </w:tc>
      </w:tr>
      <w:tr>
        <w:tc>
          <w:tcPr>
            <w:tcW w:type="dxa" w:w="3360"/>
          </w:tcPr>
          <w:p>
            <w:pPr>
              <w:spacing w:after="0"/>
            </w:pPr>
            <w:r>
              <w:rPr>
                <w:rFonts w:ascii="Arial" w:hAnsi="Arial"/>
                <w:sz w:val="16"/>
              </w:rPr>
              <w:t>SOTS</w:t>
            </w:r>
          </w:p>
        </w:tc>
        <w:tc>
          <w:tcPr>
            <w:tcW w:type="dxa" w:w="3360"/>
          </w:tcPr>
          <w:p>
            <w:pPr>
              <w:spacing w:after="0"/>
            </w:pPr>
            <w:r>
              <w:rPr>
                <w:rFonts w:ascii="Arial" w:hAnsi="Arial"/>
                <w:sz w:val="16"/>
              </w:rPr>
              <w:t>Dekalog Ex 20 / Dtn 5</w:t>
            </w:r>
          </w:p>
        </w:tc>
        <w:tc>
          <w:tcPr>
            <w:tcW w:type="dxa" w:w="3360"/>
          </w:tcPr>
          <w:p>
            <w:pPr>
              <w:spacing w:after="0"/>
            </w:pPr>
            <w:r>
              <w:rPr>
                <w:rFonts w:ascii="Arial" w:hAnsi="Arial"/>
                <w:sz w:val="16"/>
              </w:rPr>
              <w:t>https://www.sots.ac.uk/wiki/ten-commandments/</w:t>
            </w:r>
          </w:p>
        </w:tc>
      </w:tr>
      <w:tr>
        <w:tc>
          <w:tcPr>
            <w:tcW w:type="dxa" w:w="3360"/>
          </w:tcPr>
          <w:p>
            <w:pPr>
              <w:spacing w:after="0"/>
            </w:pPr>
            <w:r>
              <w:rPr>
                <w:rFonts w:ascii="Arial" w:hAnsi="Arial"/>
                <w:sz w:val="16"/>
              </w:rPr>
              <w:t>Cambridge</w:t>
            </w:r>
          </w:p>
        </w:tc>
        <w:tc>
          <w:tcPr>
            <w:tcW w:type="dxa" w:w="3360"/>
          </w:tcPr>
          <w:p>
            <w:pPr>
              <w:spacing w:after="0"/>
            </w:pPr>
            <w:r>
              <w:rPr>
                <w:rFonts w:ascii="Arial" w:hAnsi="Arial"/>
                <w:sz w:val="16"/>
              </w:rPr>
              <w:t>Genesis 1-2 als zwei Schöpfungstraditionen</w:t>
            </w:r>
          </w:p>
        </w:tc>
        <w:tc>
          <w:tcPr>
            <w:tcW w:type="dxa" w:w="3360"/>
          </w:tcPr>
          <w:p>
            <w:pPr>
              <w:spacing w:after="0"/>
            </w:pPr>
            <w:r>
              <w:rPr>
                <w:rFonts w:ascii="Arial" w:hAnsi="Arial"/>
                <w:sz w:val="16"/>
              </w:rPr>
              <w:t>https://www.cambridge.org/core/books/abs/nature-of-creation/creation-according-to-the-bible-i-genesis/E533851136BD03C57D307379877DD87F</w:t>
            </w:r>
          </w:p>
        </w:tc>
      </w:tr>
      <w:tr>
        <w:tc>
          <w:tcPr>
            <w:tcW w:type="dxa" w:w="3360"/>
          </w:tcPr>
          <w:p>
            <w:pPr>
              <w:spacing w:after="0"/>
            </w:pPr>
            <w:r>
              <w:rPr>
                <w:rFonts w:ascii="Arial" w:hAnsi="Arial"/>
                <w:sz w:val="16"/>
              </w:rPr>
              <w:t>BAS Library</w:t>
            </w:r>
          </w:p>
        </w:tc>
        <w:tc>
          <w:tcPr>
            <w:tcW w:type="dxa" w:w="3360"/>
          </w:tcPr>
          <w:p>
            <w:pPr>
              <w:spacing w:after="0"/>
            </w:pPr>
            <w:r>
              <w:rPr>
                <w:rFonts w:ascii="Arial" w:hAnsi="Arial"/>
                <w:sz w:val="16"/>
              </w:rPr>
              <w:t>Priestly Source / Genesis 1 und J in Genesis 2-3</w:t>
            </w:r>
          </w:p>
        </w:tc>
        <w:tc>
          <w:tcPr>
            <w:tcW w:type="dxa" w:w="3360"/>
          </w:tcPr>
          <w:p>
            <w:pPr>
              <w:spacing w:after="0"/>
            </w:pPr>
            <w:r>
              <w:rPr>
                <w:rFonts w:ascii="Arial" w:hAnsi="Arial"/>
                <w:sz w:val="16"/>
              </w:rPr>
              <w:t>https://library.biblicalarchaeology.org/article/p-understanding-the-priestly-source/</w:t>
            </w:r>
          </w:p>
        </w:tc>
      </w:tr>
      <w:tr>
        <w:tc>
          <w:tcPr>
            <w:tcW w:type="dxa" w:w="3360"/>
          </w:tcPr>
          <w:p>
            <w:pPr>
              <w:spacing w:after="0"/>
            </w:pPr>
            <w:r>
              <w:rPr>
                <w:rFonts w:ascii="Arial" w:hAnsi="Arial"/>
                <w:sz w:val="16"/>
              </w:rPr>
              <w:t>OUP Carr 2020</w:t>
            </w:r>
          </w:p>
        </w:tc>
        <w:tc>
          <w:tcPr>
            <w:tcW w:type="dxa" w:w="3360"/>
          </w:tcPr>
          <w:p>
            <w:pPr>
              <w:spacing w:after="0"/>
            </w:pPr>
            <w:r>
              <w:rPr>
                <w:rFonts w:ascii="Arial" w:hAnsi="Arial"/>
                <w:sz w:val="16"/>
              </w:rPr>
              <w:t>Genesis 6-9 und mesopotamische Fluttraditionen</w:t>
            </w:r>
          </w:p>
        </w:tc>
        <w:tc>
          <w:tcPr>
            <w:tcW w:type="dxa" w:w="3360"/>
          </w:tcPr>
          <w:p>
            <w:pPr>
              <w:spacing w:after="0"/>
            </w:pPr>
            <w:r>
              <w:rPr>
                <w:rFonts w:ascii="Arial" w:hAnsi="Arial"/>
                <w:sz w:val="16"/>
              </w:rPr>
              <w:t>https://academic.oup.com/book/32142/chapter/268104460/chapter-pdf/38930537/oso-9780190062545-chapter-7.pdf</w:t>
            </w:r>
          </w:p>
        </w:tc>
      </w:tr>
      <w:tr>
        <w:tc>
          <w:tcPr>
            <w:tcW w:type="dxa" w:w="3360"/>
          </w:tcPr>
          <w:p>
            <w:pPr>
              <w:spacing w:after="0"/>
            </w:pPr>
            <w:r>
              <w:rPr>
                <w:rFonts w:ascii="Arial" w:hAnsi="Arial"/>
                <w:sz w:val="16"/>
              </w:rPr>
              <w:t>OUP Clines 2013</w:t>
            </w:r>
          </w:p>
        </w:tc>
        <w:tc>
          <w:tcPr>
            <w:tcW w:type="dxa" w:w="3360"/>
          </w:tcPr>
          <w:p>
            <w:pPr>
              <w:spacing w:after="0"/>
            </w:pPr>
            <w:r>
              <w:rPr>
                <w:rFonts w:ascii="Arial" w:hAnsi="Arial"/>
                <w:sz w:val="16"/>
              </w:rPr>
              <w:t>Flood Story als Testfall der Quellenkritik</w:t>
            </w:r>
          </w:p>
        </w:tc>
        <w:tc>
          <w:tcPr>
            <w:tcW w:type="dxa" w:w="3360"/>
          </w:tcPr>
          <w:p>
            <w:pPr>
              <w:spacing w:after="0"/>
            </w:pPr>
            <w:r>
              <w:rPr>
                <w:rFonts w:ascii="Arial" w:hAnsi="Arial"/>
                <w:sz w:val="16"/>
              </w:rPr>
              <w:t>https://academic.oup.com/book/35373/chapter-abstract/301257601</w:t>
            </w:r>
          </w:p>
        </w:tc>
      </w:tr>
      <w:tr>
        <w:tc>
          <w:tcPr>
            <w:tcW w:type="dxa" w:w="3360"/>
          </w:tcPr>
          <w:p>
            <w:pPr>
              <w:spacing w:after="0"/>
            </w:pPr>
            <w:r>
              <w:rPr>
                <w:rFonts w:ascii="Arial" w:hAnsi="Arial"/>
                <w:sz w:val="16"/>
              </w:rPr>
              <w:t>Sage 2017</w:t>
            </w:r>
          </w:p>
        </w:tc>
        <w:tc>
          <w:tcPr>
            <w:tcW w:type="dxa" w:w="3360"/>
          </w:tcPr>
          <w:p>
            <w:pPr>
              <w:spacing w:after="0"/>
            </w:pPr>
            <w:r>
              <w:rPr>
                <w:rFonts w:ascii="Arial" w:hAnsi="Arial"/>
                <w:sz w:val="16"/>
              </w:rPr>
              <w:t>Genesis 1 als fleischlose/gewaltarme Idealordnung</w:t>
            </w:r>
          </w:p>
        </w:tc>
        <w:tc>
          <w:tcPr>
            <w:tcW w:type="dxa" w:w="3360"/>
          </w:tcPr>
          <w:p>
            <w:pPr>
              <w:spacing w:after="0"/>
            </w:pPr>
            <w:r>
              <w:rPr>
                <w:rFonts w:ascii="Arial" w:hAnsi="Arial"/>
                <w:sz w:val="16"/>
              </w:rPr>
              <w:t>https://journals.sagepub.com/doi/10.1177/0146107917715587</w:t>
            </w:r>
          </w:p>
        </w:tc>
      </w:tr>
      <w:tr>
        <w:tc>
          <w:tcPr>
            <w:tcW w:type="dxa" w:w="3360"/>
          </w:tcPr>
          <w:p>
            <w:pPr>
              <w:spacing w:after="0"/>
            </w:pPr>
            <w:r>
              <w:rPr>
                <w:rFonts w:ascii="Arial" w:hAnsi="Arial"/>
                <w:sz w:val="16"/>
              </w:rPr>
              <w:t>Feldman 2020</w:t>
            </w:r>
          </w:p>
        </w:tc>
        <w:tc>
          <w:tcPr>
            <w:tcW w:type="dxa" w:w="3360"/>
          </w:tcPr>
          <w:p>
            <w:pPr>
              <w:spacing w:after="0"/>
            </w:pPr>
            <w:r>
              <w:rPr>
                <w:rFonts w:ascii="Arial" w:hAnsi="Arial"/>
                <w:sz w:val="16"/>
              </w:rPr>
              <w:t>Opfer in Israel im 1. Jahrtausend v. Chr.</w:t>
            </w:r>
          </w:p>
        </w:tc>
        <w:tc>
          <w:tcPr>
            <w:tcW w:type="dxa" w:w="3360"/>
          </w:tcPr>
          <w:p>
            <w:pPr>
              <w:spacing w:after="0"/>
            </w:pPr>
            <w:r>
              <w:rPr>
                <w:rFonts w:ascii="Arial" w:hAnsi="Arial"/>
                <w:sz w:val="16"/>
              </w:rPr>
              <w:t>https://compass.onlinelibrary.wiley.com/doi/abs/10.1111/rec3.12380</w:t>
            </w:r>
          </w:p>
        </w:tc>
      </w:tr>
      <w:tr>
        <w:tc>
          <w:tcPr>
            <w:tcW w:type="dxa" w:w="3360"/>
          </w:tcPr>
          <w:p>
            <w:pPr>
              <w:spacing w:after="0"/>
            </w:pPr>
            <w:r>
              <w:rPr>
                <w:rFonts w:ascii="Arial" w:hAnsi="Arial"/>
                <w:sz w:val="16"/>
              </w:rPr>
              <w:t>My Jewish Learning</w:t>
            </w:r>
          </w:p>
        </w:tc>
        <w:tc>
          <w:tcPr>
            <w:tcW w:type="dxa" w:w="3360"/>
          </w:tcPr>
          <w:p>
            <w:pPr>
              <w:spacing w:after="0"/>
            </w:pPr>
            <w:r>
              <w:rPr>
                <w:rFonts w:ascii="Arial" w:hAnsi="Arial"/>
                <w:sz w:val="16"/>
              </w:rPr>
              <w:t>Überblick antiker jüdischer Opferkult</w:t>
            </w:r>
          </w:p>
        </w:tc>
        <w:tc>
          <w:tcPr>
            <w:tcW w:type="dxa" w:w="3360"/>
          </w:tcPr>
          <w:p>
            <w:pPr>
              <w:spacing w:after="0"/>
            </w:pPr>
            <w:r>
              <w:rPr>
                <w:rFonts w:ascii="Arial" w:hAnsi="Arial"/>
                <w:sz w:val="16"/>
              </w:rPr>
              <w:t>https://www.myjewishlearning.com/article/a-comprehensive-overview-of-ancient-jewish-sacrifice/</w:t>
            </w:r>
          </w:p>
        </w:tc>
      </w:tr>
      <w:tr>
        <w:tc>
          <w:tcPr>
            <w:tcW w:type="dxa" w:w="3360"/>
          </w:tcPr>
          <w:p>
            <w:pPr>
              <w:spacing w:after="0"/>
            </w:pPr>
            <w:r>
              <w:rPr>
                <w:rFonts w:ascii="Arial" w:hAnsi="Arial"/>
                <w:sz w:val="16"/>
              </w:rPr>
              <w:t>Jewish Encyclopedia</w:t>
            </w:r>
          </w:p>
        </w:tc>
        <w:tc>
          <w:tcPr>
            <w:tcW w:type="dxa" w:w="3360"/>
          </w:tcPr>
          <w:p>
            <w:pPr>
              <w:spacing w:after="0"/>
            </w:pPr>
            <w:r>
              <w:rPr>
                <w:rFonts w:ascii="Arial" w:hAnsi="Arial"/>
                <w:sz w:val="16"/>
              </w:rPr>
              <w:t>Molech und Kinderopfer-Texte</w:t>
            </w:r>
          </w:p>
        </w:tc>
        <w:tc>
          <w:tcPr>
            <w:tcW w:type="dxa" w:w="3360"/>
          </w:tcPr>
          <w:p>
            <w:pPr>
              <w:spacing w:after="0"/>
            </w:pPr>
            <w:r>
              <w:rPr>
                <w:rFonts w:ascii="Arial" w:hAnsi="Arial"/>
                <w:sz w:val="16"/>
              </w:rPr>
              <w:t>https://www.jewishencyclopedia.com/articles/10830-milcom</w:t>
            </w:r>
          </w:p>
        </w:tc>
      </w:tr>
      <w:tr>
        <w:tc>
          <w:tcPr>
            <w:tcW w:type="dxa" w:w="3360"/>
          </w:tcPr>
          <w:p>
            <w:pPr>
              <w:spacing w:after="0"/>
            </w:pPr>
            <w:r>
              <w:rPr>
                <w:rFonts w:ascii="Arial" w:hAnsi="Arial"/>
                <w:sz w:val="16"/>
              </w:rPr>
              <w:t>Oxford 2025</w:t>
            </w:r>
          </w:p>
        </w:tc>
        <w:tc>
          <w:tcPr>
            <w:tcW w:type="dxa" w:w="3360"/>
          </w:tcPr>
          <w:p>
            <w:pPr>
              <w:spacing w:after="0"/>
            </w:pPr>
            <w:r>
              <w:rPr>
                <w:rFonts w:ascii="Arial" w:hAnsi="Arial"/>
                <w:sz w:val="16"/>
              </w:rPr>
              <w:t>Child sacrifice, personhood and Judahite ideals</w:t>
            </w:r>
          </w:p>
        </w:tc>
        <w:tc>
          <w:tcPr>
            <w:tcW w:type="dxa" w:w="3360"/>
          </w:tcPr>
          <w:p>
            <w:pPr>
              <w:spacing w:after="0"/>
            </w:pPr>
            <w:r>
              <w:rPr>
                <w:rFonts w:ascii="Arial" w:hAnsi="Arial"/>
                <w:sz w:val="16"/>
              </w:rPr>
              <w:t>https://academic.oup.com/book/59309/chapter-abstract/499569927</w:t>
            </w:r>
          </w:p>
        </w:tc>
      </w:tr>
      <w:tr>
        <w:tc>
          <w:tcPr>
            <w:tcW w:type="dxa" w:w="3360"/>
          </w:tcPr>
          <w:p>
            <w:pPr>
              <w:spacing w:after="0"/>
            </w:pPr>
            <w:r>
              <w:rPr>
                <w:rFonts w:ascii="Arial" w:hAnsi="Arial"/>
                <w:sz w:val="16"/>
              </w:rPr>
              <w:t>Ex 12,12</w:t>
            </w:r>
          </w:p>
        </w:tc>
        <w:tc>
          <w:tcPr>
            <w:tcW w:type="dxa" w:w="3360"/>
          </w:tcPr>
          <w:p>
            <w:pPr>
              <w:spacing w:after="0"/>
            </w:pPr>
            <w:r>
              <w:rPr>
                <w:rFonts w:ascii="Arial" w:hAnsi="Arial"/>
                <w:sz w:val="16"/>
              </w:rPr>
              <w:t>Gericht über Ägyptens Götter</w:t>
            </w:r>
          </w:p>
        </w:tc>
        <w:tc>
          <w:tcPr>
            <w:tcW w:type="dxa" w:w="3360"/>
          </w:tcPr>
          <w:p>
            <w:pPr>
              <w:spacing w:after="0"/>
            </w:pPr>
            <w:r>
              <w:rPr>
                <w:rFonts w:ascii="Arial" w:hAnsi="Arial"/>
                <w:sz w:val="16"/>
              </w:rPr>
              <w:t>https://biblehub.com/commentaries/exodus/12-12.htm</w:t>
            </w:r>
          </w:p>
        </w:tc>
      </w:tr>
      <w:tr>
        <w:tc>
          <w:tcPr>
            <w:tcW w:type="dxa" w:w="3360"/>
          </w:tcPr>
          <w:p>
            <w:pPr>
              <w:spacing w:after="0"/>
            </w:pPr>
            <w:r>
              <w:rPr>
                <w:rFonts w:ascii="Arial" w:hAnsi="Arial"/>
                <w:sz w:val="16"/>
              </w:rPr>
              <w:t>Concordia</w:t>
            </w:r>
          </w:p>
        </w:tc>
        <w:tc>
          <w:tcPr>
            <w:tcW w:type="dxa" w:w="3360"/>
          </w:tcPr>
          <w:p>
            <w:pPr>
              <w:spacing w:after="0"/>
            </w:pPr>
            <w:r>
              <w:rPr>
                <w:rFonts w:ascii="Arial" w:hAnsi="Arial"/>
                <w:sz w:val="16"/>
              </w:rPr>
              <w:t>Vorsicht bei Einzelzuordnung Plage = ägyptischer Gott</w:t>
            </w:r>
          </w:p>
        </w:tc>
        <w:tc>
          <w:tcPr>
            <w:tcW w:type="dxa" w:w="3360"/>
          </w:tcPr>
          <w:p>
            <w:pPr>
              <w:spacing w:after="0"/>
            </w:pPr>
            <w:r>
              <w:rPr>
                <w:rFonts w:ascii="Arial" w:hAnsi="Arial"/>
                <w:sz w:val="16"/>
              </w:rPr>
              <w:t>https://scholar.csl.edu/ccexodus/37/</w:t>
            </w:r>
          </w:p>
        </w:tc>
      </w:tr>
      <w:tr>
        <w:tc>
          <w:tcPr>
            <w:tcW w:type="dxa" w:w="3360"/>
          </w:tcPr>
          <w:p>
            <w:pPr>
              <w:spacing w:after="0"/>
            </w:pPr>
            <w:r>
              <w:rPr>
                <w:rFonts w:ascii="Arial" w:hAnsi="Arial"/>
                <w:sz w:val="16"/>
              </w:rPr>
              <w:t>Psalm 82 2026</w:t>
            </w:r>
          </w:p>
        </w:tc>
        <w:tc>
          <w:tcPr>
            <w:tcW w:type="dxa" w:w="3360"/>
          </w:tcPr>
          <w:p>
            <w:pPr>
              <w:spacing w:after="0"/>
            </w:pPr>
            <w:r>
              <w:rPr>
                <w:rFonts w:ascii="Arial" w:hAnsi="Arial"/>
                <w:sz w:val="16"/>
              </w:rPr>
              <w:t>Göttlicher Gerichtshof und Legitimität</w:t>
            </w:r>
          </w:p>
        </w:tc>
        <w:tc>
          <w:tcPr>
            <w:tcW w:type="dxa" w:w="3360"/>
          </w:tcPr>
          <w:p>
            <w:pPr>
              <w:spacing w:after="0"/>
            </w:pPr>
            <w:r>
              <w:rPr>
                <w:rFonts w:ascii="Arial" w:hAnsi="Arial"/>
                <w:sz w:val="16"/>
              </w:rPr>
              <w:t>https://www.tandfonline.com/doi/abs/10.1080/09018328.2026.2658516</w:t>
            </w:r>
          </w:p>
        </w:tc>
      </w:tr>
      <w:tr>
        <w:tc>
          <w:tcPr>
            <w:tcW w:type="dxa" w:w="3360"/>
          </w:tcPr>
          <w:p>
            <w:pPr>
              <w:spacing w:after="0"/>
            </w:pPr>
            <w:r>
              <w:rPr>
                <w:rFonts w:ascii="Arial" w:hAnsi="Arial"/>
                <w:sz w:val="16"/>
              </w:rPr>
              <w:t>Psalm 82 / McClellan</w:t>
            </w:r>
          </w:p>
        </w:tc>
        <w:tc>
          <w:tcPr>
            <w:tcW w:type="dxa" w:w="3360"/>
          </w:tcPr>
          <w:p>
            <w:pPr>
              <w:spacing w:after="0"/>
            </w:pPr>
            <w:r>
              <w:rPr>
                <w:rFonts w:ascii="Arial" w:hAnsi="Arial"/>
                <w:sz w:val="16"/>
              </w:rPr>
              <w:t>Divine assembly reading widely accepted since Ugarit</w:t>
            </w:r>
          </w:p>
        </w:tc>
        <w:tc>
          <w:tcPr>
            <w:tcW w:type="dxa" w:w="3360"/>
          </w:tcPr>
          <w:p>
            <w:pPr>
              <w:spacing w:after="0"/>
            </w:pPr>
            <w:r>
              <w:rPr>
                <w:rFonts w:ascii="Arial" w:hAnsi="Arial"/>
                <w:sz w:val="16"/>
              </w:rPr>
              <w:t>https://scholarsarchive.byu.edu/interpreter/vol15/iss1/11/</w:t>
            </w:r>
          </w:p>
        </w:tc>
      </w:tr>
    </w:tbl>
    <w:p/>
    <w:p>
      <w:pPr>
        <w:pStyle w:val="Heading1"/>
      </w:pPr>
      <w:r>
        <w:t>17. Nächster analytischer Schritt</w:t>
      </w:r>
    </w:p>
    <w:p>
      <w:pPr>
        <w:spacing w:after="100"/>
      </w:pPr>
      <w:r>
        <w:rPr>
          <w:rFonts w:ascii="Arial" w:hAnsi="Arial"/>
          <w:b w:val="0"/>
          <w:i w:val="0"/>
          <w:sz w:val="20"/>
        </w:rPr>
        <w:t>Aus dieser Antwortfassung sollte als nächstes eine Thesenmatrix erzeugt werden, die jeden Punkt in vier Kategorien einordnet: belegt, plausibel, strittig, nicht belegt. Besonders wichtig sind die Linien Ex 6,3; Dtn 32,8-9; Ps 82; Ex 34; Gen 1/2; Gen 6-10; Ex 12,12. Diese Stellen verbinden die Urgeschichte, den göttlichen Rat, die JHWH-El-Frage, den Bund am Sinai und die später monotheistische Auswertung.</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00000"/>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00000"/>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34343"/>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