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color w:val="000000"/>
          <w:sz w:val="52"/>
        </w:rPr>
        <w:t>Dossiers A-E und Thesenmatrix</w:t>
      </w:r>
    </w:p>
    <w:p>
      <w:pPr>
        <w:jc w:val="center"/>
      </w:pPr>
      <w:r>
        <w:rPr>
          <w:i/>
        </w:rPr>
        <w:t>Göttlicher Rat, JHWH, El, Aschera, Ugarit, DSS und Second-Temple-Umdeutung</w:t>
      </w:r>
    </w:p>
    <w:p>
      <w:pPr>
        <w:pStyle w:val="Heading1"/>
      </w:pPr>
      <w:r>
        <w:t>0. Ergebnis und Bewertungsmaßstab</w:t>
      </w:r>
    </w:p>
    <w:p>
      <w:r>
        <w:rPr>
          <w:rFonts w:ascii="Arial" w:hAnsi="Arial"/>
        </w:rPr>
        <w:t>Die Dossiers stützen ein Schichtenmodell: ältere westsemitische Götterratsvorstellungen werden in Israel/Juda JHWH-zentriert umgearbeitet. Ein direkter Übergangstext existiert nicht. Die Entwicklung wird aus Textvarianten, biblischen Ratszenen, ugaritischen Vergleichstexten, Inschriften und frühjüdischer Angelologie/Dämonologie rekonstruiert.</w:t>
      </w:r>
    </w:p>
    <w:tbl>
      <w:tblPr>
        <w:tblStyle w:val="TableGrid"/>
        <w:tblW w:type="auto" w:w="0"/>
        <w:jc w:val="left"/>
        <w:tblLook w:firstColumn="1" w:firstRow="1" w:lastColumn="0" w:lastRow="0" w:noHBand="0" w:noVBand="1" w:val="04A0"/>
      </w:tblPr>
      <w:tblGrid>
        <w:gridCol w:w="4680"/>
        <w:gridCol w:w="4680"/>
      </w:tblGrid>
      <w:tr>
        <w:tc>
          <w:tcPr>
            <w:tcW w:type="dxa" w:w="1728"/>
            <w:vAlign w:val="top"/>
            <w:shd w:fill="F1F3F4"/>
          </w:tcPr>
          <w:p>
            <w:r/>
            <w:r>
              <w:rPr>
                <w:rFonts w:ascii="Arial" w:hAnsi="Arial"/>
                <w:b/>
                <w:sz w:val="17"/>
              </w:rPr>
              <w:t>Bewertung</w:t>
            </w:r>
          </w:p>
        </w:tc>
        <w:tc>
          <w:tcPr>
            <w:tcW w:type="dxa" w:w="7632"/>
            <w:vAlign w:val="top"/>
            <w:shd w:fill="F1F3F4"/>
          </w:tcPr>
          <w:p>
            <w:r/>
            <w:r>
              <w:rPr>
                <w:rFonts w:ascii="Arial" w:hAnsi="Arial"/>
                <w:b/>
                <w:sz w:val="17"/>
              </w:rPr>
              <w:t>Definition</w:t>
            </w:r>
          </w:p>
        </w:tc>
      </w:tr>
      <w:tr>
        <w:tc>
          <w:tcPr>
            <w:tcW w:type="dxa" w:w="1728"/>
            <w:vAlign w:val="top"/>
          </w:tcPr>
          <w:p>
            <w:r/>
            <w:r>
              <w:rPr>
                <w:rFonts w:ascii="Arial" w:hAnsi="Arial"/>
                <w:b w:val="0"/>
                <w:sz w:val="16"/>
              </w:rPr>
              <w:t>belegt</w:t>
            </w:r>
          </w:p>
        </w:tc>
        <w:tc>
          <w:tcPr>
            <w:tcW w:type="dxa" w:w="7632"/>
            <w:vAlign w:val="top"/>
          </w:tcPr>
          <w:p>
            <w:r/>
            <w:r>
              <w:rPr>
                <w:rFonts w:ascii="Arial" w:hAnsi="Arial"/>
                <w:b w:val="0"/>
                <w:sz w:val="16"/>
              </w:rPr>
              <w:t>Direkt durch Text, Inschrift oder stabile Primärüberlieferung bezeugt.</w:t>
            </w:r>
          </w:p>
        </w:tc>
      </w:tr>
      <w:tr>
        <w:tc>
          <w:tcPr>
            <w:tcW w:type="dxa" w:w="1728"/>
            <w:vAlign w:val="top"/>
          </w:tcPr>
          <w:p>
            <w:r/>
            <w:r>
              <w:rPr>
                <w:rFonts w:ascii="Arial" w:hAnsi="Arial"/>
                <w:b w:val="0"/>
                <w:sz w:val="16"/>
              </w:rPr>
              <w:t>plausibel</w:t>
            </w:r>
          </w:p>
        </w:tc>
        <w:tc>
          <w:tcPr>
            <w:tcW w:type="dxa" w:w="7632"/>
            <w:vAlign w:val="top"/>
          </w:tcPr>
          <w:p>
            <w:r/>
            <w:r>
              <w:rPr>
                <w:rFonts w:ascii="Arial" w:hAnsi="Arial"/>
                <w:b w:val="0"/>
                <w:sz w:val="16"/>
              </w:rPr>
              <w:t>Gute historische Erklärung mehrerer Befunde, aber nicht direkt als Ablauf bezeugt.</w:t>
            </w:r>
          </w:p>
        </w:tc>
      </w:tr>
      <w:tr>
        <w:tc>
          <w:tcPr>
            <w:tcW w:type="dxa" w:w="1728"/>
            <w:vAlign w:val="top"/>
          </w:tcPr>
          <w:p>
            <w:r/>
            <w:r>
              <w:rPr>
                <w:rFonts w:ascii="Arial" w:hAnsi="Arial"/>
                <w:b w:val="0"/>
                <w:sz w:val="16"/>
              </w:rPr>
              <w:t>strittig</w:t>
            </w:r>
          </w:p>
        </w:tc>
        <w:tc>
          <w:tcPr>
            <w:tcW w:type="dxa" w:w="7632"/>
            <w:vAlign w:val="top"/>
          </w:tcPr>
          <w:p>
            <w:r/>
            <w:r>
              <w:rPr>
                <w:rFonts w:ascii="Arial" w:hAnsi="Arial"/>
                <w:b w:val="0"/>
                <w:sz w:val="16"/>
              </w:rPr>
              <w:t>In der Forschung konkurrieren mehrere ernstzunehmende Deutungen.</w:t>
            </w:r>
          </w:p>
        </w:tc>
      </w:tr>
      <w:tr>
        <w:tc>
          <w:tcPr>
            <w:tcW w:type="dxa" w:w="1728"/>
            <w:vAlign w:val="top"/>
          </w:tcPr>
          <w:p>
            <w:r/>
            <w:r>
              <w:rPr>
                <w:rFonts w:ascii="Arial" w:hAnsi="Arial"/>
                <w:b w:val="0"/>
                <w:sz w:val="16"/>
              </w:rPr>
              <w:t>nicht belegt</w:t>
            </w:r>
          </w:p>
        </w:tc>
        <w:tc>
          <w:tcPr>
            <w:tcW w:type="dxa" w:w="7632"/>
            <w:vAlign w:val="top"/>
          </w:tcPr>
          <w:p>
            <w:r/>
            <w:r>
              <w:rPr>
                <w:rFonts w:ascii="Arial" w:hAnsi="Arial"/>
                <w:b w:val="0"/>
                <w:sz w:val="16"/>
              </w:rPr>
              <w:t>Die Aussage überschreitet die vorhandenen Quellen oder beruht auf moderner Gleichsetzung.</w:t>
            </w:r>
          </w:p>
        </w:tc>
      </w:tr>
    </w:tbl>
    <w:p>
      <w:pPr>
        <w:pStyle w:val="Heading1"/>
      </w:pPr>
      <w:r>
        <w:t>Dossier A: Deuteronomium 32,8-9</w:t>
      </w:r>
    </w:p>
    <w:p>
      <w:r>
        <w:rPr>
          <w:rFonts w:ascii="Arial" w:hAnsi="Arial"/>
        </w:rPr>
        <w:t>Ziel: Klären, ob Dtn 32,8-9 eine ältere Völkerzuteilung an göttliche Wesen bezeugt und welche Rolle JHWH in dieser Szene einnimmt.</w:t>
      </w:r>
    </w:p>
    <w:tbl>
      <w:tblPr>
        <w:tblStyle w:val="TableGrid"/>
        <w:tblW w:type="auto" w:w="0"/>
        <w:jc w:val="left"/>
        <w:tblLook w:firstColumn="1" w:firstRow="1" w:lastColumn="0" w:lastRow="0" w:noHBand="0" w:noVBand="1" w:val="04A0"/>
      </w:tblPr>
      <w:tblGrid>
        <w:gridCol w:w="3120"/>
        <w:gridCol w:w="3120"/>
        <w:gridCol w:w="3120"/>
      </w:tblGrid>
      <w:tr>
        <w:tc>
          <w:tcPr>
            <w:tcW w:type="dxa" w:w="1800"/>
            <w:vAlign w:val="top"/>
            <w:shd w:fill="F1F3F4"/>
          </w:tcPr>
          <w:p>
            <w:r/>
            <w:r>
              <w:rPr>
                <w:rFonts w:ascii="Arial" w:hAnsi="Arial"/>
                <w:b/>
                <w:sz w:val="17"/>
              </w:rPr>
              <w:t>Zeuge</w:t>
            </w:r>
          </w:p>
        </w:tc>
        <w:tc>
          <w:tcPr>
            <w:tcW w:type="dxa" w:w="2808"/>
            <w:vAlign w:val="top"/>
            <w:shd w:fill="F1F3F4"/>
          </w:tcPr>
          <w:p>
            <w:r/>
            <w:r>
              <w:rPr>
                <w:rFonts w:ascii="Arial" w:hAnsi="Arial"/>
                <w:b/>
                <w:sz w:val="17"/>
              </w:rPr>
              <w:t>Lesart im Schlüsselteil</w:t>
            </w:r>
          </w:p>
        </w:tc>
        <w:tc>
          <w:tcPr>
            <w:tcW w:type="dxa" w:w="4752"/>
            <w:vAlign w:val="top"/>
            <w:shd w:fill="F1F3F4"/>
          </w:tcPr>
          <w:p>
            <w:r/>
            <w:r>
              <w:rPr>
                <w:rFonts w:ascii="Arial" w:hAnsi="Arial"/>
                <w:b/>
                <w:sz w:val="17"/>
              </w:rPr>
              <w:t>Einordnung</w:t>
            </w:r>
          </w:p>
        </w:tc>
      </w:tr>
      <w:tr>
        <w:tc>
          <w:tcPr>
            <w:tcW w:type="dxa" w:w="1800"/>
            <w:vAlign w:val="top"/>
          </w:tcPr>
          <w:p>
            <w:r/>
            <w:r>
              <w:rPr>
                <w:rFonts w:ascii="Arial" w:hAnsi="Arial"/>
                <w:b w:val="0"/>
                <w:sz w:val="16"/>
              </w:rPr>
              <w:t>MT / Samaritanus / Peschitta</w:t>
            </w:r>
          </w:p>
        </w:tc>
        <w:tc>
          <w:tcPr>
            <w:tcW w:type="dxa" w:w="2808"/>
            <w:vAlign w:val="top"/>
          </w:tcPr>
          <w:p>
            <w:r/>
            <w:r>
              <w:rPr>
                <w:rFonts w:ascii="Arial" w:hAnsi="Arial"/>
                <w:b w:val="0"/>
                <w:sz w:val="16"/>
              </w:rPr>
              <w:t>benei yisrael - Söhne Israels</w:t>
            </w:r>
          </w:p>
        </w:tc>
        <w:tc>
          <w:tcPr>
            <w:tcW w:type="dxa" w:w="4752"/>
            <w:vAlign w:val="top"/>
          </w:tcPr>
          <w:p>
            <w:r/>
            <w:r>
              <w:rPr>
                <w:rFonts w:ascii="Arial" w:hAnsi="Arial"/>
                <w:b w:val="0"/>
                <w:sz w:val="16"/>
              </w:rPr>
              <w:t>Spätere masoretische Hauptlesart; erklärt die Völkergrenzen nach der Zahl Israels.</w:t>
            </w:r>
          </w:p>
        </w:tc>
      </w:tr>
      <w:tr>
        <w:tc>
          <w:tcPr>
            <w:tcW w:type="dxa" w:w="1800"/>
            <w:vAlign w:val="top"/>
          </w:tcPr>
          <w:p>
            <w:r/>
            <w:r>
              <w:rPr>
                <w:rFonts w:ascii="Arial" w:hAnsi="Arial"/>
                <w:b w:val="0"/>
                <w:sz w:val="16"/>
              </w:rPr>
              <w:t>4QDeutj</w:t>
            </w:r>
          </w:p>
        </w:tc>
        <w:tc>
          <w:tcPr>
            <w:tcW w:type="dxa" w:w="2808"/>
            <w:vAlign w:val="top"/>
          </w:tcPr>
          <w:p>
            <w:r/>
            <w:r>
              <w:rPr>
                <w:rFonts w:ascii="Arial" w:hAnsi="Arial"/>
                <w:b w:val="0"/>
                <w:sz w:val="16"/>
              </w:rPr>
              <w:t>benei elohim - Söhne Gottes</w:t>
            </w:r>
          </w:p>
        </w:tc>
        <w:tc>
          <w:tcPr>
            <w:tcW w:type="dxa" w:w="4752"/>
            <w:vAlign w:val="top"/>
          </w:tcPr>
          <w:p>
            <w:r/>
            <w:r>
              <w:rPr>
                <w:rFonts w:ascii="Arial" w:hAnsi="Arial"/>
                <w:b w:val="0"/>
                <w:sz w:val="16"/>
              </w:rPr>
              <w:t>Qumran-Beleg für eine göttliche Mehrzahl im Schlüsselvers; textkritisch sehr wichtig.</w:t>
            </w:r>
          </w:p>
        </w:tc>
      </w:tr>
      <w:tr>
        <w:tc>
          <w:tcPr>
            <w:tcW w:type="dxa" w:w="1800"/>
            <w:vAlign w:val="top"/>
          </w:tcPr>
          <w:p>
            <w:r/>
            <w:r>
              <w:rPr>
                <w:rFonts w:ascii="Arial" w:hAnsi="Arial"/>
                <w:b w:val="0"/>
                <w:sz w:val="16"/>
              </w:rPr>
              <w:t>mögliche ältere Form</w:t>
            </w:r>
          </w:p>
        </w:tc>
        <w:tc>
          <w:tcPr>
            <w:tcW w:type="dxa" w:w="2808"/>
            <w:vAlign w:val="top"/>
          </w:tcPr>
          <w:p>
            <w:r/>
            <w:r>
              <w:rPr>
                <w:rFonts w:ascii="Arial" w:hAnsi="Arial"/>
                <w:b w:val="0"/>
                <w:sz w:val="16"/>
              </w:rPr>
              <w:t>benei el - Söhne Els</w:t>
            </w:r>
          </w:p>
        </w:tc>
        <w:tc>
          <w:tcPr>
            <w:tcW w:type="dxa" w:w="4752"/>
            <w:vAlign w:val="top"/>
          </w:tcPr>
          <w:p>
            <w:r/>
            <w:r>
              <w:rPr>
                <w:rFonts w:ascii="Arial" w:hAnsi="Arial"/>
                <w:b w:val="0"/>
                <w:sz w:val="16"/>
              </w:rPr>
              <w:t>Von mehreren Forschern als noch ältere Traditionsform erwogen; nicht direkt in Dtn 32 vollständig erhalten.</w:t>
            </w:r>
          </w:p>
        </w:tc>
      </w:tr>
      <w:tr>
        <w:tc>
          <w:tcPr>
            <w:tcW w:type="dxa" w:w="1800"/>
            <w:vAlign w:val="top"/>
          </w:tcPr>
          <w:p>
            <w:r/>
            <w:r>
              <w:rPr>
                <w:rFonts w:ascii="Arial" w:hAnsi="Arial"/>
                <w:b w:val="0"/>
                <w:sz w:val="16"/>
              </w:rPr>
              <w:t>LXX, einzelne Zeugen</w:t>
            </w:r>
          </w:p>
        </w:tc>
        <w:tc>
          <w:tcPr>
            <w:tcW w:type="dxa" w:w="2808"/>
            <w:vAlign w:val="top"/>
          </w:tcPr>
          <w:p>
            <w:r/>
            <w:r>
              <w:rPr>
                <w:rFonts w:ascii="Arial" w:hAnsi="Arial"/>
                <w:b w:val="0"/>
                <w:sz w:val="16"/>
              </w:rPr>
              <w:t>hyioi theou - Söhne Gottes</w:t>
            </w:r>
          </w:p>
        </w:tc>
        <w:tc>
          <w:tcPr>
            <w:tcW w:type="dxa" w:w="4752"/>
            <w:vAlign w:val="top"/>
          </w:tcPr>
          <w:p>
            <w:r/>
            <w:r>
              <w:rPr>
                <w:rFonts w:ascii="Arial" w:hAnsi="Arial"/>
                <w:b w:val="0"/>
                <w:sz w:val="16"/>
              </w:rPr>
              <w:t>Stützt die göttliche Lesart gegen MT.</w:t>
            </w:r>
          </w:p>
        </w:tc>
      </w:tr>
      <w:tr>
        <w:tc>
          <w:tcPr>
            <w:tcW w:type="dxa" w:w="1800"/>
            <w:vAlign w:val="top"/>
          </w:tcPr>
          <w:p>
            <w:r/>
            <w:r>
              <w:rPr>
                <w:rFonts w:ascii="Arial" w:hAnsi="Arial"/>
                <w:b w:val="0"/>
                <w:sz w:val="16"/>
              </w:rPr>
              <w:t>LXX, Mehrheit</w:t>
            </w:r>
          </w:p>
        </w:tc>
        <w:tc>
          <w:tcPr>
            <w:tcW w:type="dxa" w:w="2808"/>
            <w:vAlign w:val="top"/>
          </w:tcPr>
          <w:p>
            <w:r/>
            <w:r>
              <w:rPr>
                <w:rFonts w:ascii="Arial" w:hAnsi="Arial"/>
                <w:b w:val="0"/>
                <w:sz w:val="16"/>
              </w:rPr>
              <w:t>angeloi theou - Engel/Boten Gottes</w:t>
            </w:r>
          </w:p>
        </w:tc>
        <w:tc>
          <w:tcPr>
            <w:tcW w:type="dxa" w:w="4752"/>
            <w:vAlign w:val="top"/>
          </w:tcPr>
          <w:p>
            <w:r/>
            <w:r>
              <w:rPr>
                <w:rFonts w:ascii="Arial" w:hAnsi="Arial"/>
                <w:b w:val="0"/>
                <w:sz w:val="16"/>
              </w:rPr>
              <w:t>Angelologische Umdeutung einer göttlichen Lesart.</w:t>
            </w:r>
          </w:p>
        </w:tc>
      </w:tr>
      <w:tr>
        <w:tc>
          <w:tcPr>
            <w:tcW w:type="dxa" w:w="1800"/>
            <w:vAlign w:val="top"/>
          </w:tcPr>
          <w:p>
            <w:r/>
            <w:r>
              <w:rPr>
                <w:rFonts w:ascii="Arial" w:hAnsi="Arial"/>
                <w:b w:val="0"/>
                <w:sz w:val="16"/>
              </w:rPr>
              <w:t>Vulgata</w:t>
            </w:r>
          </w:p>
        </w:tc>
        <w:tc>
          <w:tcPr>
            <w:tcW w:type="dxa" w:w="2808"/>
            <w:vAlign w:val="top"/>
          </w:tcPr>
          <w:p>
            <w:r/>
            <w:r>
              <w:rPr>
                <w:rFonts w:ascii="Arial" w:hAnsi="Arial"/>
                <w:b w:val="0"/>
                <w:sz w:val="16"/>
              </w:rPr>
              <w:t>filii Israel</w:t>
            </w:r>
          </w:p>
        </w:tc>
        <w:tc>
          <w:tcPr>
            <w:tcW w:type="dxa" w:w="4752"/>
            <w:vAlign w:val="top"/>
          </w:tcPr>
          <w:p>
            <w:r/>
            <w:r>
              <w:rPr>
                <w:rFonts w:ascii="Arial" w:hAnsi="Arial"/>
                <w:b w:val="0"/>
                <w:sz w:val="16"/>
              </w:rPr>
              <w:t>Folgt der Israel-Lesart.</w:t>
            </w:r>
          </w:p>
        </w:tc>
      </w:tr>
      <w:tr>
        <w:tc>
          <w:tcPr>
            <w:tcW w:type="dxa" w:w="1800"/>
            <w:vAlign w:val="top"/>
          </w:tcPr>
          <w:p>
            <w:r/>
            <w:r>
              <w:rPr>
                <w:rFonts w:ascii="Arial" w:hAnsi="Arial"/>
                <w:b w:val="0"/>
                <w:sz w:val="16"/>
              </w:rPr>
              <w:t>Old Latin</w:t>
            </w:r>
          </w:p>
        </w:tc>
        <w:tc>
          <w:tcPr>
            <w:tcW w:type="dxa" w:w="2808"/>
            <w:vAlign w:val="top"/>
          </w:tcPr>
          <w:p>
            <w:r/>
            <w:r>
              <w:rPr>
                <w:rFonts w:ascii="Arial" w:hAnsi="Arial"/>
                <w:b w:val="0"/>
                <w:sz w:val="16"/>
              </w:rPr>
              <w:t>angelorum Dei</w:t>
            </w:r>
          </w:p>
        </w:tc>
        <w:tc>
          <w:tcPr>
            <w:tcW w:type="dxa" w:w="4752"/>
            <w:vAlign w:val="top"/>
          </w:tcPr>
          <w:p>
            <w:r/>
            <w:r>
              <w:rPr>
                <w:rFonts w:ascii="Arial" w:hAnsi="Arial"/>
                <w:b w:val="0"/>
                <w:sz w:val="16"/>
              </w:rPr>
              <w:t>Nach Tov über die griechische Engel-Lesart vermittelt.</w:t>
            </w:r>
          </w:p>
        </w:tc>
      </w:tr>
      <w:tr>
        <w:tc>
          <w:tcPr>
            <w:tcW w:type="dxa" w:w="1800"/>
            <w:vAlign w:val="top"/>
          </w:tcPr>
          <w:p>
            <w:r/>
            <w:r>
              <w:rPr>
                <w:rFonts w:ascii="Arial" w:hAnsi="Arial"/>
                <w:b w:val="0"/>
                <w:sz w:val="16"/>
              </w:rPr>
              <w:t>Targum Onkelos</w:t>
            </w:r>
          </w:p>
        </w:tc>
        <w:tc>
          <w:tcPr>
            <w:tcW w:type="dxa" w:w="2808"/>
            <w:vAlign w:val="top"/>
          </w:tcPr>
          <w:p>
            <w:r/>
            <w:r>
              <w:rPr>
                <w:rFonts w:ascii="Arial" w:hAnsi="Arial"/>
                <w:b w:val="0"/>
                <w:sz w:val="16"/>
              </w:rPr>
              <w:t>benei yisrael</w:t>
            </w:r>
          </w:p>
        </w:tc>
        <w:tc>
          <w:tcPr>
            <w:tcW w:type="dxa" w:w="4752"/>
            <w:vAlign w:val="top"/>
          </w:tcPr>
          <w:p>
            <w:r/>
            <w:r>
              <w:rPr>
                <w:rFonts w:ascii="Arial" w:hAnsi="Arial"/>
                <w:b w:val="0"/>
                <w:sz w:val="16"/>
              </w:rPr>
              <w:t>Aramäische Tradition hält die Israel-Lesart.</w:t>
            </w:r>
          </w:p>
        </w:tc>
      </w:tr>
      <w:tr>
        <w:tc>
          <w:tcPr>
            <w:tcW w:type="dxa" w:w="1800"/>
            <w:vAlign w:val="top"/>
          </w:tcPr>
          <w:p>
            <w:r/>
            <w:r>
              <w:rPr>
                <w:rFonts w:ascii="Arial" w:hAnsi="Arial"/>
                <w:b w:val="0"/>
                <w:sz w:val="16"/>
              </w:rPr>
              <w:t>Targum Pseudo-Jonathan</w:t>
            </w:r>
          </w:p>
        </w:tc>
        <w:tc>
          <w:tcPr>
            <w:tcW w:type="dxa" w:w="2808"/>
            <w:vAlign w:val="top"/>
          </w:tcPr>
          <w:p>
            <w:r/>
            <w:r>
              <w:rPr>
                <w:rFonts w:ascii="Arial" w:hAnsi="Arial"/>
                <w:b w:val="0"/>
                <w:sz w:val="16"/>
              </w:rPr>
              <w:t>kombiniert Israel-/Engeldeutung</w:t>
            </w:r>
          </w:p>
        </w:tc>
        <w:tc>
          <w:tcPr>
            <w:tcW w:type="dxa" w:w="4752"/>
            <w:vAlign w:val="top"/>
          </w:tcPr>
          <w:p>
            <w:r/>
            <w:r>
              <w:rPr>
                <w:rFonts w:ascii="Arial" w:hAnsi="Arial"/>
                <w:b w:val="0"/>
                <w:sz w:val="16"/>
              </w:rPr>
              <w:t>Interpretierende Angleichung: Israel-Zahl und Engelmotiv werden verbunden.</w:t>
            </w:r>
          </w:p>
        </w:tc>
      </w:tr>
    </w:tbl>
    <w:p>
      <w:r>
        <w:rPr>
          <w:rFonts w:ascii="Arial" w:hAnsi="Arial"/>
        </w:rPr>
        <w:t>Arbeitsübersetzung der älteren Lesart: Als Elyon die Völker verteilte und die Menschen trennte, setzte er die Grenzen der Völker nach der Zahl der Söhne Gottes; denn JHWHs Anteil ist sein Volk, Jakob sein Erbteil.</w:t>
      </w:r>
    </w:p>
    <w:p>
      <w:r>
        <w:rPr>
          <w:rFonts w:ascii="Arial" w:hAnsi="Arial"/>
        </w:rPr>
        <w:t>Analyse: Die ältere Lesart mit 'Söhnen Gottes' ist für das Modell zentral. Sie erklärt Dtn 32,9 besser als MT, weil JHWHs Anteil Israel gerade im Kontrast zur Verteilung der übrigen Völker steht. Daraus folgt aber noch nicht zwingend, dass JHWH als niedriger Gott gedacht war. Belegt ist zunächst eine Völkerordnung göttlicher Mächte; die genaue Relation Elyon-El-JHWH bleibt strittig.</w:t>
      </w:r>
    </w:p>
    <w:p>
      <w:r>
        <w:rPr>
          <w:rFonts w:ascii="Arial" w:hAnsi="Arial"/>
        </w:rPr>
        <w:t>Quellenbasis: Tov 2023/2026; Sefaria Onkelos; Vulgata; Hinweise auf LXX/Old Latin in Tov.</w:t>
      </w:r>
    </w:p>
    <w:p>
      <w:pPr>
        <w:pStyle w:val="Heading1"/>
      </w:pPr>
      <w:r>
        <w:t>Dossier B: Psalm 82 und 1 Könige 22,19-23</w:t>
      </w:r>
    </w:p>
    <w:p>
      <w:r>
        <w:rPr>
          <w:rFonts w:ascii="Arial" w:hAnsi="Arial"/>
        </w:rPr>
        <w:t>Ziel: Prüfen, ob biblische Texte selbst einen göttlichen Rat oder himmlischen Gerichtshof kennen.</w:t>
      </w:r>
    </w:p>
    <w:tbl>
      <w:tblPr>
        <w:tblStyle w:val="TableGrid"/>
        <w:tblW w:type="auto" w:w="0"/>
        <w:jc w:val="left"/>
        <w:tblLook w:firstColumn="1" w:firstRow="1" w:lastColumn="0" w:lastRow="0" w:noHBand="0" w:noVBand="1" w:val="04A0"/>
      </w:tblPr>
      <w:tblGrid>
        <w:gridCol w:w="2340"/>
        <w:gridCol w:w="2340"/>
        <w:gridCol w:w="2340"/>
        <w:gridCol w:w="2340"/>
      </w:tblGrid>
      <w:tr>
        <w:tc>
          <w:tcPr>
            <w:tcW w:type="dxa" w:w="1656"/>
            <w:vAlign w:val="top"/>
            <w:shd w:fill="F1F3F4"/>
          </w:tcPr>
          <w:p>
            <w:r/>
            <w:r>
              <w:rPr>
                <w:rFonts w:ascii="Arial" w:hAnsi="Arial"/>
                <w:b/>
                <w:sz w:val="17"/>
              </w:rPr>
              <w:t>Text</w:t>
            </w:r>
          </w:p>
        </w:tc>
        <w:tc>
          <w:tcPr>
            <w:tcW w:type="dxa" w:w="3096"/>
            <w:vAlign w:val="top"/>
            <w:shd w:fill="F1F3F4"/>
          </w:tcPr>
          <w:p>
            <w:r/>
            <w:r>
              <w:rPr>
                <w:rFonts w:ascii="Arial" w:hAnsi="Arial"/>
                <w:b/>
                <w:sz w:val="17"/>
              </w:rPr>
              <w:t>Szene</w:t>
            </w:r>
          </w:p>
        </w:tc>
        <w:tc>
          <w:tcPr>
            <w:tcW w:type="dxa" w:w="2736"/>
            <w:vAlign w:val="top"/>
            <w:shd w:fill="F1F3F4"/>
          </w:tcPr>
          <w:p>
            <w:r/>
            <w:r>
              <w:rPr>
                <w:rFonts w:ascii="Arial" w:hAnsi="Arial"/>
                <w:b/>
                <w:sz w:val="17"/>
              </w:rPr>
              <w:t>Funktion</w:t>
            </w:r>
          </w:p>
        </w:tc>
        <w:tc>
          <w:tcPr>
            <w:tcW w:type="dxa" w:w="1872"/>
            <w:vAlign w:val="top"/>
            <w:shd w:fill="F1F3F4"/>
          </w:tcPr>
          <w:p>
            <w:r/>
            <w:r>
              <w:rPr>
                <w:rFonts w:ascii="Arial" w:hAnsi="Arial"/>
                <w:b/>
                <w:sz w:val="17"/>
              </w:rPr>
              <w:t>Bewertung</w:t>
            </w:r>
          </w:p>
        </w:tc>
      </w:tr>
      <w:tr>
        <w:tc>
          <w:tcPr>
            <w:tcW w:type="dxa" w:w="1656"/>
            <w:vAlign w:val="top"/>
          </w:tcPr>
          <w:p>
            <w:r/>
            <w:r>
              <w:rPr>
                <w:rFonts w:ascii="Arial" w:hAnsi="Arial"/>
                <w:b w:val="0"/>
                <w:sz w:val="16"/>
              </w:rPr>
              <w:t>Psalm 82</w:t>
            </w:r>
          </w:p>
        </w:tc>
        <w:tc>
          <w:tcPr>
            <w:tcW w:type="dxa" w:w="3096"/>
            <w:vAlign w:val="top"/>
          </w:tcPr>
          <w:p>
            <w:r/>
            <w:r>
              <w:rPr>
                <w:rFonts w:ascii="Arial" w:hAnsi="Arial"/>
                <w:b w:val="0"/>
                <w:sz w:val="16"/>
              </w:rPr>
              <w:t>Gott steht in der Versammlung; die Elohim werden wegen ungerechter Herrschaft verurteilt.</w:t>
            </w:r>
          </w:p>
        </w:tc>
        <w:tc>
          <w:tcPr>
            <w:tcW w:type="dxa" w:w="2736"/>
            <w:vAlign w:val="top"/>
          </w:tcPr>
          <w:p>
            <w:r/>
            <w:r>
              <w:rPr>
                <w:rFonts w:ascii="Arial" w:hAnsi="Arial"/>
                <w:b w:val="0"/>
                <w:sz w:val="16"/>
              </w:rPr>
              <w:t>Gericht über göttliche Amtsinhaber; universalistische Schlusswendung.</w:t>
            </w:r>
          </w:p>
        </w:tc>
        <w:tc>
          <w:tcPr>
            <w:tcW w:type="dxa" w:w="1872"/>
            <w:vAlign w:val="top"/>
          </w:tcPr>
          <w:p>
            <w:r/>
            <w:r>
              <w:rPr>
                <w:rFonts w:ascii="Arial" w:hAnsi="Arial"/>
                <w:b w:val="0"/>
                <w:sz w:val="16"/>
              </w:rPr>
              <w:t>belegt: Rats-/Gerichtsszene; Deutung der Elohim bleibt strittig.</w:t>
            </w:r>
          </w:p>
        </w:tc>
      </w:tr>
      <w:tr>
        <w:tc>
          <w:tcPr>
            <w:tcW w:type="dxa" w:w="1656"/>
            <w:vAlign w:val="top"/>
          </w:tcPr>
          <w:p>
            <w:r/>
            <w:r>
              <w:rPr>
                <w:rFonts w:ascii="Arial" w:hAnsi="Arial"/>
                <w:b w:val="0"/>
                <w:sz w:val="16"/>
              </w:rPr>
              <w:t>1 Kön 22,19-23</w:t>
            </w:r>
          </w:p>
        </w:tc>
        <w:tc>
          <w:tcPr>
            <w:tcW w:type="dxa" w:w="3096"/>
            <w:vAlign w:val="top"/>
          </w:tcPr>
          <w:p>
            <w:r/>
            <w:r>
              <w:rPr>
                <w:rFonts w:ascii="Arial" w:hAnsi="Arial"/>
                <w:b w:val="0"/>
                <w:sz w:val="16"/>
              </w:rPr>
              <w:t>JHWH sitzt auf dem Thron; das Himmelsheer steht rechts und links; ein Geist übernimmt eine Täuschungsmission.</w:t>
            </w:r>
          </w:p>
        </w:tc>
        <w:tc>
          <w:tcPr>
            <w:tcW w:type="dxa" w:w="2736"/>
            <w:vAlign w:val="top"/>
          </w:tcPr>
          <w:p>
            <w:r/>
            <w:r>
              <w:rPr>
                <w:rFonts w:ascii="Arial" w:hAnsi="Arial"/>
                <w:b w:val="0"/>
                <w:sz w:val="16"/>
              </w:rPr>
              <w:t>Prophetische Offenlegung himmlischer Entscheidungsfindung.</w:t>
            </w:r>
          </w:p>
        </w:tc>
        <w:tc>
          <w:tcPr>
            <w:tcW w:type="dxa" w:w="1872"/>
            <w:vAlign w:val="top"/>
          </w:tcPr>
          <w:p>
            <w:r/>
            <w:r>
              <w:rPr>
                <w:rFonts w:ascii="Arial" w:hAnsi="Arial"/>
                <w:b w:val="0"/>
                <w:sz w:val="16"/>
              </w:rPr>
              <w:t>belegt: himmlischer Rat; nicht zwingend Pantheon gleicher Götter.</w:t>
            </w:r>
          </w:p>
        </w:tc>
      </w:tr>
    </w:tbl>
    <w:p>
      <w:r>
        <w:rPr>
          <w:rFonts w:ascii="Arial" w:hAnsi="Arial"/>
        </w:rPr>
        <w:t>Analyse: Psalm 82 ist für den älteren göttlichen Rat stärker als 1 Kön 22, weil er ausdrücklich Elohim adressiert und sie als Söhne des Höchsten markiert. 1 Kön 22 zeigt dagegen eine bereits stärker JHWH-zentrierte Hofszene: JHWH ist König, der Rat ist ausführendes Himmelsheer. Zusammen zeigen beide Texte eine Entwicklung von göttlicher Ratspluralität zu hierarchischer Hof-/Engelstruktur.</w:t>
      </w:r>
    </w:p>
    <w:p>
      <w:r>
        <w:rPr>
          <w:rFonts w:ascii="Arial" w:hAnsi="Arial"/>
        </w:rPr>
        <w:t>Quellenbasis: Kee 2007 zur heavenly-council type-scene; Frankel 2010 und neuere Psalm-82-Debatten; Bibeltext als Primärbasis.</w:t>
      </w:r>
    </w:p>
    <w:p>
      <w:pPr>
        <w:pStyle w:val="Heading1"/>
      </w:pPr>
      <w:r>
        <w:t>Dossier C: Ugaritische Vergleichstexte</w:t>
      </w:r>
    </w:p>
    <w:p>
      <w:r>
        <w:rPr>
          <w:rFonts w:ascii="Arial" w:hAnsi="Arial"/>
        </w:rPr>
        <w:t>Ziel: Den westsemitischen Hintergrund prüfen: El, Baal, Athirat/Aschera und die Vorstellung von siebzig göttlichen Söhnen.</w:t>
      </w:r>
    </w:p>
    <w:tbl>
      <w:tblPr>
        <w:tblStyle w:val="TableGrid"/>
        <w:tblW w:type="auto" w:w="0"/>
        <w:jc w:val="left"/>
        <w:tblLook w:firstColumn="1" w:firstRow="1" w:lastColumn="0" w:lastRow="0" w:noHBand="0" w:noVBand="1" w:val="04A0"/>
      </w:tblPr>
      <w:tblGrid>
        <w:gridCol w:w="3120"/>
        <w:gridCol w:w="3120"/>
        <w:gridCol w:w="3120"/>
      </w:tblGrid>
      <w:tr>
        <w:tc>
          <w:tcPr>
            <w:tcW w:type="dxa" w:w="1800"/>
            <w:vAlign w:val="top"/>
            <w:shd w:fill="F1F3F4"/>
          </w:tcPr>
          <w:p>
            <w:r/>
            <w:r>
              <w:rPr>
                <w:rFonts w:ascii="Arial" w:hAnsi="Arial"/>
                <w:b/>
                <w:sz w:val="17"/>
              </w:rPr>
              <w:t>Komplex</w:t>
            </w:r>
          </w:p>
        </w:tc>
        <w:tc>
          <w:tcPr>
            <w:tcW w:type="dxa" w:w="3384"/>
            <w:vAlign w:val="top"/>
            <w:shd w:fill="F1F3F4"/>
          </w:tcPr>
          <w:p>
            <w:r/>
            <w:r>
              <w:rPr>
                <w:rFonts w:ascii="Arial" w:hAnsi="Arial"/>
                <w:b/>
                <w:sz w:val="17"/>
              </w:rPr>
              <w:t>Befund</w:t>
            </w:r>
          </w:p>
        </w:tc>
        <w:tc>
          <w:tcPr>
            <w:tcW w:type="dxa" w:w="4176"/>
            <w:vAlign w:val="top"/>
            <w:shd w:fill="F1F3F4"/>
          </w:tcPr>
          <w:p>
            <w:r/>
            <w:r>
              <w:rPr>
                <w:rFonts w:ascii="Arial" w:hAnsi="Arial"/>
                <w:b/>
                <w:sz w:val="17"/>
              </w:rPr>
              <w:t>Bedeutung für unsere These</w:t>
            </w:r>
          </w:p>
        </w:tc>
      </w:tr>
      <w:tr>
        <w:tc>
          <w:tcPr>
            <w:tcW w:type="dxa" w:w="1800"/>
            <w:vAlign w:val="top"/>
          </w:tcPr>
          <w:p>
            <w:r/>
            <w:r>
              <w:rPr>
                <w:rFonts w:ascii="Arial" w:hAnsi="Arial"/>
                <w:b w:val="0"/>
                <w:sz w:val="16"/>
              </w:rPr>
              <w:t>El</w:t>
            </w:r>
          </w:p>
        </w:tc>
        <w:tc>
          <w:tcPr>
            <w:tcW w:type="dxa" w:w="3384"/>
            <w:vAlign w:val="top"/>
          </w:tcPr>
          <w:p>
            <w:r/>
            <w:r>
              <w:rPr>
                <w:rFonts w:ascii="Arial" w:hAnsi="Arial"/>
                <w:b w:val="0"/>
                <w:sz w:val="16"/>
              </w:rPr>
              <w:t>Hochgott, Vaterfigur, Ratsoberhaupt, Autorität über göttliche Ordnung.</w:t>
            </w:r>
          </w:p>
        </w:tc>
        <w:tc>
          <w:tcPr>
            <w:tcW w:type="dxa" w:w="4176"/>
            <w:vAlign w:val="top"/>
          </w:tcPr>
          <w:p>
            <w:r/>
            <w:r>
              <w:rPr>
                <w:rFonts w:ascii="Arial" w:hAnsi="Arial"/>
                <w:b w:val="0"/>
                <w:sz w:val="16"/>
              </w:rPr>
              <w:t>Plausibler Hintergrund für JHWHs spätere El-Titel: Höchster, Vater, Schöpfer, König.</w:t>
            </w:r>
          </w:p>
        </w:tc>
      </w:tr>
      <w:tr>
        <w:tc>
          <w:tcPr>
            <w:tcW w:type="dxa" w:w="1800"/>
            <w:vAlign w:val="top"/>
          </w:tcPr>
          <w:p>
            <w:r/>
            <w:r>
              <w:rPr>
                <w:rFonts w:ascii="Arial" w:hAnsi="Arial"/>
                <w:b w:val="0"/>
                <w:sz w:val="16"/>
              </w:rPr>
              <w:t>Baal/Hadad</w:t>
            </w:r>
          </w:p>
        </w:tc>
        <w:tc>
          <w:tcPr>
            <w:tcW w:type="dxa" w:w="3384"/>
            <w:vAlign w:val="top"/>
          </w:tcPr>
          <w:p>
            <w:r/>
            <w:r>
              <w:rPr>
                <w:rFonts w:ascii="Arial" w:hAnsi="Arial"/>
                <w:b w:val="0"/>
                <w:sz w:val="16"/>
              </w:rPr>
              <w:t>Aktiver Sturm-, Regen-, Kampf- und Königsanspruchsgott.</w:t>
            </w:r>
          </w:p>
        </w:tc>
        <w:tc>
          <w:tcPr>
            <w:tcW w:type="dxa" w:w="4176"/>
            <w:vAlign w:val="top"/>
          </w:tcPr>
          <w:p>
            <w:r/>
            <w:r>
              <w:rPr>
                <w:rFonts w:ascii="Arial" w:hAnsi="Arial"/>
                <w:b w:val="0"/>
                <w:sz w:val="16"/>
              </w:rPr>
              <w:t>Viele Wetter-/Kampf-/Wolkenmotive können auf JHWH übertragen worden sein, ohne JHWH und Baal identisch zu machen.</w:t>
            </w:r>
          </w:p>
        </w:tc>
      </w:tr>
      <w:tr>
        <w:tc>
          <w:tcPr>
            <w:tcW w:type="dxa" w:w="1800"/>
            <w:vAlign w:val="top"/>
          </w:tcPr>
          <w:p>
            <w:r/>
            <w:r>
              <w:rPr>
                <w:rFonts w:ascii="Arial" w:hAnsi="Arial"/>
                <w:b w:val="0"/>
                <w:sz w:val="16"/>
              </w:rPr>
              <w:t>Athirat/Aschera</w:t>
            </w:r>
          </w:p>
        </w:tc>
        <w:tc>
          <w:tcPr>
            <w:tcW w:type="dxa" w:w="3384"/>
            <w:vAlign w:val="top"/>
          </w:tcPr>
          <w:p>
            <w:r/>
            <w:r>
              <w:rPr>
                <w:rFonts w:ascii="Arial" w:hAnsi="Arial"/>
                <w:b w:val="0"/>
                <w:sz w:val="16"/>
              </w:rPr>
              <w:t>Mutter-/Partnerfigur im ugaritischen Pantheon; mit den göttlichen Söhnen verbunden.</w:t>
            </w:r>
          </w:p>
        </w:tc>
        <w:tc>
          <w:tcPr>
            <w:tcW w:type="dxa" w:w="4176"/>
            <w:vAlign w:val="top"/>
          </w:tcPr>
          <w:p>
            <w:r/>
            <w:r>
              <w:rPr>
                <w:rFonts w:ascii="Arial" w:hAnsi="Arial"/>
                <w:b w:val="0"/>
                <w:sz w:val="16"/>
              </w:rPr>
              <w:t>Erklärt, warum Aschera in Israel/Juda nicht nur als importierter Fremdkult verstanden werden sollte.</w:t>
            </w:r>
          </w:p>
        </w:tc>
      </w:tr>
      <w:tr>
        <w:tc>
          <w:tcPr>
            <w:tcW w:type="dxa" w:w="1800"/>
            <w:vAlign w:val="top"/>
          </w:tcPr>
          <w:p>
            <w:r/>
            <w:r>
              <w:rPr>
                <w:rFonts w:ascii="Arial" w:hAnsi="Arial"/>
                <w:b w:val="0"/>
                <w:sz w:val="16"/>
              </w:rPr>
              <w:t>Siebzig Söhne</w:t>
            </w:r>
          </w:p>
        </w:tc>
        <w:tc>
          <w:tcPr>
            <w:tcW w:type="dxa" w:w="3384"/>
            <w:vAlign w:val="top"/>
          </w:tcPr>
          <w:p>
            <w:r/>
            <w:r>
              <w:rPr>
                <w:rFonts w:ascii="Arial" w:hAnsi="Arial"/>
                <w:b w:val="0"/>
                <w:sz w:val="16"/>
              </w:rPr>
              <w:t>KTU 1.4 VI 46 nennt siebzig Söhne Athirats; Zahl kann Totalität des Pantheons markieren.</w:t>
            </w:r>
          </w:p>
        </w:tc>
        <w:tc>
          <w:tcPr>
            <w:tcW w:type="dxa" w:w="4176"/>
            <w:vAlign w:val="top"/>
          </w:tcPr>
          <w:p>
            <w:r/>
            <w:r>
              <w:rPr>
                <w:rFonts w:ascii="Arial" w:hAnsi="Arial"/>
                <w:b w:val="0"/>
                <w:sz w:val="16"/>
              </w:rPr>
              <w:t>Starker Vergleichspunkt zu Dtn 32, Gen 10 und Völkerzuteilung.</w:t>
            </w:r>
          </w:p>
        </w:tc>
      </w:tr>
    </w:tbl>
    <w:p>
      <w:r>
        <w:rPr>
          <w:rFonts w:ascii="Arial" w:hAnsi="Arial"/>
        </w:rPr>
        <w:t>Analyse: Ugarit beweist nicht, dass Israel den ugaritischen Pantheon-Katalog eins zu eins übernommen hat. Es beweist aber, dass die Grundstruktur - Hochgott, göttliche Familie, Rat, jüngere aktive Gottheiten - im westsemitischen Kulturraum real war. Damit ist der göttliche Rat in biblischen Texten keine spätere Fantasie, sondern ein plausibler Traditionsspeicher.</w:t>
      </w:r>
    </w:p>
    <w:p>
      <w:r>
        <w:rPr>
          <w:rFonts w:ascii="Arial" w:hAnsi="Arial"/>
        </w:rPr>
        <w:t>Quellenbasis: Smith 2001; Wyatt 2006; Smith/Pitard zum Baal-Zyklus; einschlägige KTU-Verweise.</w:t>
      </w:r>
    </w:p>
    <w:p>
      <w:pPr>
        <w:pStyle w:val="Heading1"/>
      </w:pPr>
      <w:r>
        <w:t>Dossier D: Kuntillet Ajrud und Khirbet el-Qom</w:t>
      </w:r>
    </w:p>
    <w:p>
      <w:r>
        <w:rPr>
          <w:rFonts w:ascii="Arial" w:hAnsi="Arial"/>
        </w:rPr>
        <w:t>Ziel: Die epigraphische Verbindung von JHWH und Aschera prüfen.</w:t>
      </w:r>
    </w:p>
    <w:tbl>
      <w:tblPr>
        <w:tblStyle w:val="TableGrid"/>
        <w:tblW w:type="auto" w:w="0"/>
        <w:jc w:val="left"/>
        <w:tblLook w:firstColumn="1" w:firstRow="1" w:lastColumn="0" w:lastRow="0" w:noHBand="0" w:noVBand="1" w:val="04A0"/>
      </w:tblPr>
      <w:tblGrid>
        <w:gridCol w:w="3120"/>
        <w:gridCol w:w="3120"/>
        <w:gridCol w:w="3120"/>
      </w:tblGrid>
      <w:tr>
        <w:tc>
          <w:tcPr>
            <w:tcW w:type="dxa" w:w="1944"/>
            <w:vAlign w:val="top"/>
            <w:shd w:fill="F1F3F4"/>
          </w:tcPr>
          <w:p>
            <w:r/>
            <w:r>
              <w:rPr>
                <w:rFonts w:ascii="Arial" w:hAnsi="Arial"/>
                <w:b/>
                <w:sz w:val="17"/>
              </w:rPr>
              <w:t>Position</w:t>
            </w:r>
          </w:p>
        </w:tc>
        <w:tc>
          <w:tcPr>
            <w:tcW w:type="dxa" w:w="4752"/>
            <w:vAlign w:val="top"/>
            <w:shd w:fill="F1F3F4"/>
          </w:tcPr>
          <w:p>
            <w:r/>
            <w:r>
              <w:rPr>
                <w:rFonts w:ascii="Arial" w:hAnsi="Arial"/>
                <w:b/>
                <w:sz w:val="17"/>
              </w:rPr>
              <w:t>Argumente</w:t>
            </w:r>
          </w:p>
        </w:tc>
        <w:tc>
          <w:tcPr>
            <w:tcW w:type="dxa" w:w="2664"/>
            <w:vAlign w:val="top"/>
            <w:shd w:fill="F1F3F4"/>
          </w:tcPr>
          <w:p>
            <w:r/>
            <w:r>
              <w:rPr>
                <w:rFonts w:ascii="Arial" w:hAnsi="Arial"/>
                <w:b/>
                <w:sz w:val="17"/>
              </w:rPr>
              <w:t>Stärke / Grenze</w:t>
            </w:r>
          </w:p>
        </w:tc>
      </w:tr>
      <w:tr>
        <w:tc>
          <w:tcPr>
            <w:tcW w:type="dxa" w:w="1944"/>
            <w:vAlign w:val="top"/>
          </w:tcPr>
          <w:p>
            <w:r/>
            <w:r>
              <w:rPr>
                <w:rFonts w:ascii="Arial" w:hAnsi="Arial"/>
                <w:b w:val="0"/>
                <w:sz w:val="16"/>
              </w:rPr>
              <w:t>Pro: Aschera als Göttin/Partnerin</w:t>
            </w:r>
          </w:p>
        </w:tc>
        <w:tc>
          <w:tcPr>
            <w:tcW w:type="dxa" w:w="4752"/>
            <w:vAlign w:val="top"/>
          </w:tcPr>
          <w:p>
            <w:r/>
            <w:r>
              <w:rPr>
                <w:rFonts w:ascii="Arial" w:hAnsi="Arial"/>
                <w:b w:val="0"/>
                <w:sz w:val="16"/>
              </w:rPr>
              <w:t>Formeln wie 'JHWH und seine Aschera' passen zu einer gelebten JHWH-Religion mit weiblicher göttlicher Komponente; Ugarit kennt Athirat als Partnerin Els.</w:t>
            </w:r>
          </w:p>
        </w:tc>
        <w:tc>
          <w:tcPr>
            <w:tcW w:type="dxa" w:w="2664"/>
            <w:vAlign w:val="top"/>
          </w:tcPr>
          <w:p>
            <w:r/>
            <w:r>
              <w:rPr>
                <w:rFonts w:ascii="Arial" w:hAnsi="Arial"/>
                <w:b w:val="0"/>
                <w:sz w:val="16"/>
              </w:rPr>
              <w:t>plausibel; besonders stark für Volksreligion, aber ikonographisch und grammatisch nicht eindeutig.</w:t>
            </w:r>
          </w:p>
        </w:tc>
      </w:tr>
      <w:tr>
        <w:tc>
          <w:tcPr>
            <w:tcW w:type="dxa" w:w="1944"/>
            <w:vAlign w:val="top"/>
          </w:tcPr>
          <w:p>
            <w:r/>
            <w:r>
              <w:rPr>
                <w:rFonts w:ascii="Arial" w:hAnsi="Arial"/>
                <w:b w:val="0"/>
                <w:sz w:val="16"/>
              </w:rPr>
              <w:t>Contra: aschera als Kultsymbol</w:t>
            </w:r>
          </w:p>
        </w:tc>
        <w:tc>
          <w:tcPr>
            <w:tcW w:type="dxa" w:w="4752"/>
            <w:vAlign w:val="top"/>
          </w:tcPr>
          <w:p>
            <w:r/>
            <w:r>
              <w:rPr>
                <w:rFonts w:ascii="Arial" w:hAnsi="Arial"/>
                <w:b w:val="0"/>
                <w:sz w:val="16"/>
              </w:rPr>
              <w:t>Possessivsuffix 'seine' kann gegen einen Eigennamen sprechen; 'Aschera' kann ein Kultobjekt oder Symbol im JHWH-Kult meinen.</w:t>
            </w:r>
          </w:p>
        </w:tc>
        <w:tc>
          <w:tcPr>
            <w:tcW w:type="dxa" w:w="2664"/>
            <w:vAlign w:val="top"/>
          </w:tcPr>
          <w:p>
            <w:r/>
            <w:r>
              <w:rPr>
                <w:rFonts w:ascii="Arial" w:hAnsi="Arial"/>
                <w:b w:val="0"/>
                <w:sz w:val="16"/>
              </w:rPr>
              <w:t>strittig; erklärt Grammatik, schwächt aber nicht die Relevanz von Aschera im JHWH-Kult.</w:t>
            </w:r>
          </w:p>
        </w:tc>
      </w:tr>
      <w:tr>
        <w:tc>
          <w:tcPr>
            <w:tcW w:type="dxa" w:w="1944"/>
            <w:vAlign w:val="top"/>
          </w:tcPr>
          <w:p>
            <w:r/>
            <w:r>
              <w:rPr>
                <w:rFonts w:ascii="Arial" w:hAnsi="Arial"/>
                <w:b w:val="0"/>
                <w:sz w:val="16"/>
              </w:rPr>
              <w:t>Regionale JHWH-Formen</w:t>
            </w:r>
          </w:p>
        </w:tc>
        <w:tc>
          <w:tcPr>
            <w:tcW w:type="dxa" w:w="4752"/>
            <w:vAlign w:val="top"/>
          </w:tcPr>
          <w:p>
            <w:r/>
            <w:r>
              <w:rPr>
                <w:rFonts w:ascii="Arial" w:hAnsi="Arial"/>
                <w:b w:val="0"/>
                <w:sz w:val="16"/>
              </w:rPr>
              <w:t>Kuntillet Ajrud nennt JHWH von Samaria und JHWH von Teman.</w:t>
            </w:r>
          </w:p>
        </w:tc>
        <w:tc>
          <w:tcPr>
            <w:tcW w:type="dxa" w:w="2664"/>
            <w:vAlign w:val="top"/>
          </w:tcPr>
          <w:p>
            <w:r/>
            <w:r>
              <w:rPr>
                <w:rFonts w:ascii="Arial" w:hAnsi="Arial"/>
                <w:b w:val="0"/>
                <w:sz w:val="16"/>
              </w:rPr>
              <w:t>belegt: JHWH-Verehrung war regional differenziert; relevant für Entwicklung und Integration.</w:t>
            </w:r>
          </w:p>
        </w:tc>
      </w:tr>
      <w:tr>
        <w:tc>
          <w:tcPr>
            <w:tcW w:type="dxa" w:w="1944"/>
            <w:vAlign w:val="top"/>
          </w:tcPr>
          <w:p>
            <w:r/>
            <w:r>
              <w:rPr>
                <w:rFonts w:ascii="Arial" w:hAnsi="Arial"/>
                <w:b w:val="0"/>
                <w:sz w:val="16"/>
              </w:rPr>
              <w:t>Kultischer Ort?</w:t>
            </w:r>
          </w:p>
        </w:tc>
        <w:tc>
          <w:tcPr>
            <w:tcW w:type="dxa" w:w="4752"/>
            <w:vAlign w:val="top"/>
          </w:tcPr>
          <w:p>
            <w:r/>
            <w:r>
              <w:rPr>
                <w:rFonts w:ascii="Arial" w:hAnsi="Arial"/>
                <w:b w:val="0"/>
                <w:sz w:val="16"/>
              </w:rPr>
              <w:t>Smoak/Schniedewind warnen vor vorschneller Deutung des Ortes als Kultstätte; religiöse Texte können in Alltag/Schreibausbildung eingebettet sein.</w:t>
            </w:r>
          </w:p>
        </w:tc>
        <w:tc>
          <w:tcPr>
            <w:tcW w:type="dxa" w:w="2664"/>
            <w:vAlign w:val="top"/>
          </w:tcPr>
          <w:p>
            <w:r/>
            <w:r>
              <w:rPr>
                <w:rFonts w:ascii="Arial" w:hAnsi="Arial"/>
                <w:b w:val="0"/>
                <w:sz w:val="16"/>
              </w:rPr>
              <w:t>methodische Korrektur: Inschriften sind stark, Funktionsdeutung des Ortes bleibt offen.</w:t>
            </w:r>
          </w:p>
        </w:tc>
      </w:tr>
    </w:tbl>
    <w:p>
      <w:r>
        <w:rPr>
          <w:rFonts w:ascii="Arial" w:hAnsi="Arial"/>
        </w:rPr>
        <w:t>Analyse: Für unsere Forschung ist nicht entscheidend, ob Aschera in jeder Inschrift sicher 'JHWHs Ehefrau' ist. Entscheidend ist: JHWH-Religion des 9./8. Jh. v. Chr. war nicht als isolierter später Monotheismus organisiert. Aschera, El-/Baal-Sprache und regionale JHWH-Formen gehören zur belegten Umwelt.</w:t>
      </w:r>
    </w:p>
    <w:p>
      <w:r>
        <w:rPr>
          <w:rFonts w:ascii="Arial" w:hAnsi="Arial"/>
        </w:rPr>
        <w:t>Quellenbasis: Smoak/Schniedewind 2019; Kim 2018 als Gegenposition; Freedman 1987; Na'aman 2017.</w:t>
      </w:r>
    </w:p>
    <w:p>
      <w:pPr>
        <w:pStyle w:val="Heading1"/>
      </w:pPr>
      <w:r>
        <w:t>Dossier E: 1 Henoch, Jubiläen und DSS</w:t>
      </w:r>
    </w:p>
    <w:p>
      <w:r>
        <w:rPr>
          <w:rFonts w:ascii="Arial" w:hAnsi="Arial"/>
        </w:rPr>
        <w:t>Ziel: Prüfen, wie ältere göttliche oder halb-göttliche Wesen in Second-Temple-Literatur angelologisch und dämonologisch umgeordnet werden.</w:t>
      </w:r>
    </w:p>
    <w:tbl>
      <w:tblPr>
        <w:tblStyle w:val="TableGrid"/>
        <w:tblW w:type="auto" w:w="0"/>
        <w:jc w:val="left"/>
        <w:tblLook w:firstColumn="1" w:firstRow="1" w:lastColumn="0" w:lastRow="0" w:noHBand="0" w:noVBand="1" w:val="04A0"/>
      </w:tblPr>
      <w:tblGrid>
        <w:gridCol w:w="3120"/>
        <w:gridCol w:w="3120"/>
        <w:gridCol w:w="3120"/>
      </w:tblGrid>
      <w:tr>
        <w:tc>
          <w:tcPr>
            <w:tcW w:type="dxa" w:w="2160"/>
            <w:vAlign w:val="top"/>
            <w:shd w:fill="F1F3F4"/>
          </w:tcPr>
          <w:p>
            <w:r/>
            <w:r>
              <w:rPr>
                <w:rFonts w:ascii="Arial" w:hAnsi="Arial"/>
                <w:b/>
                <w:sz w:val="17"/>
              </w:rPr>
              <w:t>Quelle</w:t>
            </w:r>
          </w:p>
        </w:tc>
        <w:tc>
          <w:tcPr>
            <w:tcW w:type="dxa" w:w="3672"/>
            <w:vAlign w:val="top"/>
            <w:shd w:fill="F1F3F4"/>
          </w:tcPr>
          <w:p>
            <w:r/>
            <w:r>
              <w:rPr>
                <w:rFonts w:ascii="Arial" w:hAnsi="Arial"/>
                <w:b/>
                <w:sz w:val="17"/>
              </w:rPr>
              <w:t>Befund</w:t>
            </w:r>
          </w:p>
        </w:tc>
        <w:tc>
          <w:tcPr>
            <w:tcW w:type="dxa" w:w="3528"/>
            <w:vAlign w:val="top"/>
            <w:shd w:fill="F1F3F4"/>
          </w:tcPr>
          <w:p>
            <w:r/>
            <w:r>
              <w:rPr>
                <w:rFonts w:ascii="Arial" w:hAnsi="Arial"/>
                <w:b/>
                <w:sz w:val="17"/>
              </w:rPr>
              <w:t>Relevanz</w:t>
            </w:r>
          </w:p>
        </w:tc>
      </w:tr>
      <w:tr>
        <w:tc>
          <w:tcPr>
            <w:tcW w:type="dxa" w:w="2160"/>
            <w:vAlign w:val="top"/>
          </w:tcPr>
          <w:p>
            <w:r/>
            <w:r>
              <w:rPr>
                <w:rFonts w:ascii="Arial" w:hAnsi="Arial"/>
                <w:b w:val="0"/>
                <w:sz w:val="16"/>
              </w:rPr>
              <w:t>Genesis 6 als Ausgangspunkt</w:t>
            </w:r>
          </w:p>
        </w:tc>
        <w:tc>
          <w:tcPr>
            <w:tcW w:type="dxa" w:w="3672"/>
            <w:vAlign w:val="top"/>
          </w:tcPr>
          <w:p>
            <w:r/>
            <w:r>
              <w:rPr>
                <w:rFonts w:ascii="Arial" w:hAnsi="Arial"/>
                <w:b w:val="0"/>
                <w:sz w:val="16"/>
              </w:rPr>
              <w:t>Söhne Gottes und Menschentöchter bilden den narrativen Kern späterer Wächtertraditionen.</w:t>
            </w:r>
          </w:p>
        </w:tc>
        <w:tc>
          <w:tcPr>
            <w:tcW w:type="dxa" w:w="3528"/>
            <w:vAlign w:val="top"/>
          </w:tcPr>
          <w:p>
            <w:r/>
            <w:r>
              <w:rPr>
                <w:rFonts w:ascii="Arial" w:hAnsi="Arial"/>
                <w:b w:val="0"/>
                <w:sz w:val="16"/>
              </w:rPr>
              <w:t>Brücke von göttlichen Wesen zu Engel-/Wächterdeutung.</w:t>
            </w:r>
          </w:p>
        </w:tc>
      </w:tr>
      <w:tr>
        <w:tc>
          <w:tcPr>
            <w:tcW w:type="dxa" w:w="2160"/>
            <w:vAlign w:val="top"/>
          </w:tcPr>
          <w:p>
            <w:r/>
            <w:r>
              <w:rPr>
                <w:rFonts w:ascii="Arial" w:hAnsi="Arial"/>
                <w:b w:val="0"/>
                <w:sz w:val="16"/>
              </w:rPr>
              <w:t>1 Henoch / Buch der Wächter</w:t>
            </w:r>
          </w:p>
        </w:tc>
        <w:tc>
          <w:tcPr>
            <w:tcW w:type="dxa" w:w="3672"/>
            <w:vAlign w:val="top"/>
          </w:tcPr>
          <w:p>
            <w:r/>
            <w:r>
              <w:rPr>
                <w:rFonts w:ascii="Arial" w:hAnsi="Arial"/>
                <w:b w:val="0"/>
                <w:sz w:val="16"/>
              </w:rPr>
              <w:t>Wächter verlassen ihre himmlische Ordnung; aus den Riesen entstehen böse Geister.</w:t>
            </w:r>
          </w:p>
        </w:tc>
        <w:tc>
          <w:tcPr>
            <w:tcW w:type="dxa" w:w="3528"/>
            <w:vAlign w:val="top"/>
          </w:tcPr>
          <w:p>
            <w:r/>
            <w:r>
              <w:rPr>
                <w:rFonts w:ascii="Arial" w:hAnsi="Arial"/>
                <w:b w:val="0"/>
                <w:sz w:val="16"/>
              </w:rPr>
              <w:t>Starker Beleg für Umdeutung himmlischer Wesen zu gefallenen Engeln und Dämonen.</w:t>
            </w:r>
          </w:p>
        </w:tc>
      </w:tr>
      <w:tr>
        <w:tc>
          <w:tcPr>
            <w:tcW w:type="dxa" w:w="2160"/>
            <w:vAlign w:val="top"/>
          </w:tcPr>
          <w:p>
            <w:r/>
            <w:r>
              <w:rPr>
                <w:rFonts w:ascii="Arial" w:hAnsi="Arial"/>
                <w:b w:val="0"/>
                <w:sz w:val="16"/>
              </w:rPr>
              <w:t>Jubiläen</w:t>
            </w:r>
          </w:p>
        </w:tc>
        <w:tc>
          <w:tcPr>
            <w:tcW w:type="dxa" w:w="3672"/>
            <w:vAlign w:val="top"/>
          </w:tcPr>
          <w:p>
            <w:r/>
            <w:r>
              <w:rPr>
                <w:rFonts w:ascii="Arial" w:hAnsi="Arial"/>
                <w:b w:val="0"/>
                <w:sz w:val="16"/>
              </w:rPr>
              <w:t>Genesis-Stoff wird halachisch und angelologisch neu erzählt; Mastema und böse Geister werden hierarchisiert.</w:t>
            </w:r>
          </w:p>
        </w:tc>
        <w:tc>
          <w:tcPr>
            <w:tcW w:type="dxa" w:w="3528"/>
            <w:vAlign w:val="top"/>
          </w:tcPr>
          <w:p>
            <w:r/>
            <w:r>
              <w:rPr>
                <w:rFonts w:ascii="Arial" w:hAnsi="Arial"/>
                <w:b w:val="0"/>
                <w:sz w:val="16"/>
              </w:rPr>
              <w:t>Belegt geordnete Dämonologie innerhalb eines monotheistischen Rahmens.</w:t>
            </w:r>
          </w:p>
        </w:tc>
      </w:tr>
      <w:tr>
        <w:tc>
          <w:tcPr>
            <w:tcW w:type="dxa" w:w="2160"/>
            <w:vAlign w:val="top"/>
          </w:tcPr>
          <w:p>
            <w:r/>
            <w:r>
              <w:rPr>
                <w:rFonts w:ascii="Arial" w:hAnsi="Arial"/>
                <w:b w:val="0"/>
                <w:sz w:val="16"/>
              </w:rPr>
              <w:t>DSS / Qumran</w:t>
            </w:r>
          </w:p>
        </w:tc>
        <w:tc>
          <w:tcPr>
            <w:tcW w:type="dxa" w:w="3672"/>
            <w:vAlign w:val="top"/>
          </w:tcPr>
          <w:p>
            <w:r/>
            <w:r>
              <w:rPr>
                <w:rFonts w:ascii="Arial" w:hAnsi="Arial"/>
                <w:b w:val="0"/>
                <w:sz w:val="16"/>
              </w:rPr>
              <w:t>Dämonologie, dualistische Sprache, Engelgemeinschaft und himmlische Liturgie sind breit bezeugt.</w:t>
            </w:r>
          </w:p>
        </w:tc>
        <w:tc>
          <w:tcPr>
            <w:tcW w:type="dxa" w:w="3528"/>
            <w:vAlign w:val="top"/>
          </w:tcPr>
          <w:p>
            <w:r/>
            <w:r>
              <w:rPr>
                <w:rFonts w:ascii="Arial" w:hAnsi="Arial"/>
                <w:b w:val="0"/>
                <w:sz w:val="16"/>
              </w:rPr>
              <w:t>Zeigt Fortleben himmlischer Mehrwesenheit unter Monotheismus.</w:t>
            </w:r>
          </w:p>
        </w:tc>
      </w:tr>
      <w:tr>
        <w:tc>
          <w:tcPr>
            <w:tcW w:type="dxa" w:w="2160"/>
            <w:vAlign w:val="top"/>
          </w:tcPr>
          <w:p>
            <w:r/>
            <w:r>
              <w:rPr>
                <w:rFonts w:ascii="Arial" w:hAnsi="Arial"/>
                <w:b w:val="0"/>
                <w:sz w:val="16"/>
              </w:rPr>
              <w:t>Songs of the Sabbath Sacrifice</w:t>
            </w:r>
          </w:p>
        </w:tc>
        <w:tc>
          <w:tcPr>
            <w:tcW w:type="dxa" w:w="3672"/>
            <w:vAlign w:val="top"/>
          </w:tcPr>
          <w:p>
            <w:r/>
            <w:r>
              <w:rPr>
                <w:rFonts w:ascii="Arial" w:hAnsi="Arial"/>
                <w:b w:val="0"/>
                <w:sz w:val="16"/>
              </w:rPr>
              <w:t>Angelic Liturgy mit himmlischem Tempel und Engelpriestern.</w:t>
            </w:r>
          </w:p>
        </w:tc>
        <w:tc>
          <w:tcPr>
            <w:tcW w:type="dxa" w:w="3528"/>
            <w:vAlign w:val="top"/>
          </w:tcPr>
          <w:p>
            <w:r/>
            <w:r>
              <w:rPr>
                <w:rFonts w:ascii="Arial" w:hAnsi="Arial"/>
                <w:b w:val="0"/>
                <w:sz w:val="16"/>
              </w:rPr>
              <w:t>Nicht Dämonologie, aber wichtiger Beleg für hierarchische Angelologie.</w:t>
            </w:r>
          </w:p>
        </w:tc>
      </w:tr>
    </w:tbl>
    <w:p>
      <w:r>
        <w:rPr>
          <w:rFonts w:ascii="Arial" w:hAnsi="Arial"/>
        </w:rPr>
        <w:t>Analyse: Stufe 4 bedeutet nicht, dass alle alten Elohim einfach Engel wurden. Exakter ist: ältere Kategorien göttlicher oder himmlischer Wesen wurden teils untergeordnet, teils dämonisiert, teils liturgisch angelologisiert und teils literarisch neutralisiert. Die Second-Temple-Quellen zeigen reale himmlische Vielfalt, aber innerhalb einer deutlicheren Ein-Gott-Hierarchie.</w:t>
      </w:r>
    </w:p>
    <w:p>
      <w:r>
        <w:rPr>
          <w:rFonts w:ascii="Arial" w:hAnsi="Arial"/>
        </w:rPr>
        <w:t>Quellenbasis: The Watchers in Jewish and Christian Traditions; van Ruiten 2007; Reynolds 2013; Mizrahi/Newsom zur Songs-of-Sabbath-Sacrifice-Tradition.</w:t>
      </w:r>
    </w:p>
    <w:p>
      <w:pPr>
        <w:pStyle w:val="Heading1"/>
      </w:pPr>
      <w:r>
        <w:t>Thesenmatrix</w:t>
      </w:r>
    </w:p>
    <w:tbl>
      <w:tblPr>
        <w:tblStyle w:val="TableGrid"/>
        <w:tblW w:type="auto" w:w="0"/>
        <w:jc w:val="left"/>
        <w:tblLook w:firstColumn="1" w:firstRow="1" w:lastColumn="0" w:lastRow="0" w:noHBand="0" w:noVBand="1" w:val="04A0"/>
      </w:tblPr>
      <w:tblGrid>
        <w:gridCol w:w="3120"/>
        <w:gridCol w:w="3120"/>
        <w:gridCol w:w="3120"/>
      </w:tblGrid>
      <w:tr>
        <w:tc>
          <w:tcPr>
            <w:tcW w:type="dxa" w:w="3888"/>
            <w:vAlign w:val="top"/>
            <w:shd w:fill="F1F3F4"/>
          </w:tcPr>
          <w:p>
            <w:r/>
            <w:r>
              <w:rPr>
                <w:rFonts w:ascii="Arial" w:hAnsi="Arial"/>
                <w:b/>
                <w:sz w:val="17"/>
              </w:rPr>
              <w:t>These</w:t>
            </w:r>
          </w:p>
        </w:tc>
        <w:tc>
          <w:tcPr>
            <w:tcW w:type="dxa" w:w="1512"/>
            <w:vAlign w:val="top"/>
            <w:shd w:fill="F1F3F4"/>
          </w:tcPr>
          <w:p>
            <w:r/>
            <w:r>
              <w:rPr>
                <w:rFonts w:ascii="Arial" w:hAnsi="Arial"/>
                <w:b/>
                <w:sz w:val="17"/>
              </w:rPr>
              <w:t>Status</w:t>
            </w:r>
          </w:p>
        </w:tc>
        <w:tc>
          <w:tcPr>
            <w:tcW w:type="dxa" w:w="3960"/>
            <w:vAlign w:val="top"/>
            <w:shd w:fill="F1F3F4"/>
          </w:tcPr>
          <w:p>
            <w:r/>
            <w:r>
              <w:rPr>
                <w:rFonts w:ascii="Arial" w:hAnsi="Arial"/>
                <w:b/>
                <w:sz w:val="17"/>
              </w:rPr>
              <w:t>Begründung</w:t>
            </w:r>
          </w:p>
        </w:tc>
      </w:tr>
      <w:tr>
        <w:tc>
          <w:tcPr>
            <w:tcW w:type="dxa" w:w="3888"/>
            <w:vAlign w:val="top"/>
          </w:tcPr>
          <w:p>
            <w:r/>
            <w:r>
              <w:rPr>
                <w:rFonts w:ascii="Arial" w:hAnsi="Arial"/>
                <w:b w:val="0"/>
                <w:sz w:val="16"/>
              </w:rPr>
              <w:t>Dtn 32,8 hatte wahrscheinlich eine ältere Lesart mit göttlichen Wesen.</w:t>
            </w:r>
          </w:p>
        </w:tc>
        <w:tc>
          <w:tcPr>
            <w:tcW w:type="dxa" w:w="1512"/>
            <w:vAlign w:val="top"/>
          </w:tcPr>
          <w:p>
            <w:r/>
            <w:r>
              <w:rPr>
                <w:rFonts w:ascii="Arial" w:hAnsi="Arial"/>
                <w:b w:val="0"/>
                <w:sz w:val="16"/>
              </w:rPr>
              <w:t>belegt</w:t>
            </w:r>
          </w:p>
        </w:tc>
        <w:tc>
          <w:tcPr>
            <w:tcW w:type="dxa" w:w="3960"/>
            <w:vAlign w:val="top"/>
          </w:tcPr>
          <w:p>
            <w:r/>
            <w:r>
              <w:rPr>
                <w:rFonts w:ascii="Arial" w:hAnsi="Arial"/>
                <w:b w:val="0"/>
                <w:sz w:val="16"/>
              </w:rPr>
              <w:t>4QDeutj und LXX stützen 'Söhne Gottes/Engel Gottes'; MT 'Söhne Israels' wirkt sekundär erklärbar.</w:t>
            </w:r>
          </w:p>
        </w:tc>
      </w:tr>
      <w:tr>
        <w:tc>
          <w:tcPr>
            <w:tcW w:type="dxa" w:w="3888"/>
            <w:vAlign w:val="top"/>
          </w:tcPr>
          <w:p>
            <w:r/>
            <w:r>
              <w:rPr>
                <w:rFonts w:ascii="Arial" w:hAnsi="Arial"/>
                <w:b w:val="0"/>
                <w:sz w:val="16"/>
              </w:rPr>
              <w:t>Dtn 32,8-9 beschreibt JHWH als Anteilsgott Israels.</w:t>
            </w:r>
          </w:p>
        </w:tc>
        <w:tc>
          <w:tcPr>
            <w:tcW w:type="dxa" w:w="1512"/>
            <w:vAlign w:val="top"/>
          </w:tcPr>
          <w:p>
            <w:r/>
            <w:r>
              <w:rPr>
                <w:rFonts w:ascii="Arial" w:hAnsi="Arial"/>
                <w:b w:val="0"/>
                <w:sz w:val="16"/>
              </w:rPr>
              <w:t>plausibel</w:t>
            </w:r>
          </w:p>
        </w:tc>
        <w:tc>
          <w:tcPr>
            <w:tcW w:type="dxa" w:w="3960"/>
            <w:vAlign w:val="top"/>
          </w:tcPr>
          <w:p>
            <w:r/>
            <w:r>
              <w:rPr>
                <w:rFonts w:ascii="Arial" w:hAnsi="Arial"/>
                <w:b w:val="0"/>
                <w:sz w:val="16"/>
              </w:rPr>
              <w:t>Vers 9 setzt JHWHs Anteil Israel gegen die Völkerordnung; genaue Rangstellung gegenüber Elyon bleibt umstritten.</w:t>
            </w:r>
          </w:p>
        </w:tc>
      </w:tr>
      <w:tr>
        <w:tc>
          <w:tcPr>
            <w:tcW w:type="dxa" w:w="3888"/>
            <w:vAlign w:val="top"/>
          </w:tcPr>
          <w:p>
            <w:r/>
            <w:r>
              <w:rPr>
                <w:rFonts w:ascii="Arial" w:hAnsi="Arial"/>
                <w:b w:val="0"/>
                <w:sz w:val="16"/>
              </w:rPr>
              <w:t>Elyon/El und JHWH sind in der älteren Schicht unterschieden.</w:t>
            </w:r>
          </w:p>
        </w:tc>
        <w:tc>
          <w:tcPr>
            <w:tcW w:type="dxa" w:w="1512"/>
            <w:vAlign w:val="top"/>
          </w:tcPr>
          <w:p>
            <w:r/>
            <w:r>
              <w:rPr>
                <w:rFonts w:ascii="Arial" w:hAnsi="Arial"/>
                <w:b w:val="0"/>
                <w:sz w:val="16"/>
              </w:rPr>
              <w:t>strittig</w:t>
            </w:r>
          </w:p>
        </w:tc>
        <w:tc>
          <w:tcPr>
            <w:tcW w:type="dxa" w:w="3960"/>
            <w:vAlign w:val="top"/>
          </w:tcPr>
          <w:p>
            <w:r/>
            <w:r>
              <w:rPr>
                <w:rFonts w:ascii="Arial" w:hAnsi="Arial"/>
                <w:b w:val="0"/>
                <w:sz w:val="16"/>
              </w:rPr>
              <w:t>Erklärt den Text gut, aber andere Modelle identifizieren Elyon früh mit JHWH.</w:t>
            </w:r>
          </w:p>
        </w:tc>
      </w:tr>
      <w:tr>
        <w:tc>
          <w:tcPr>
            <w:tcW w:type="dxa" w:w="3888"/>
            <w:vAlign w:val="top"/>
          </w:tcPr>
          <w:p>
            <w:r/>
            <w:r>
              <w:rPr>
                <w:rFonts w:ascii="Arial" w:hAnsi="Arial"/>
                <w:b w:val="0"/>
                <w:sz w:val="16"/>
              </w:rPr>
              <w:t>Psalm 82 bezeugt einen göttlichen Rat.</w:t>
            </w:r>
          </w:p>
        </w:tc>
        <w:tc>
          <w:tcPr>
            <w:tcW w:type="dxa" w:w="1512"/>
            <w:vAlign w:val="top"/>
          </w:tcPr>
          <w:p>
            <w:r/>
            <w:r>
              <w:rPr>
                <w:rFonts w:ascii="Arial" w:hAnsi="Arial"/>
                <w:b w:val="0"/>
                <w:sz w:val="16"/>
              </w:rPr>
              <w:t>belegt</w:t>
            </w:r>
          </w:p>
        </w:tc>
        <w:tc>
          <w:tcPr>
            <w:tcW w:type="dxa" w:w="3960"/>
            <w:vAlign w:val="top"/>
          </w:tcPr>
          <w:p>
            <w:r/>
            <w:r>
              <w:rPr>
                <w:rFonts w:ascii="Arial" w:hAnsi="Arial"/>
                <w:b w:val="0"/>
                <w:sz w:val="16"/>
              </w:rPr>
              <w:t>Elohim werden in einer Rats-/Gerichtsszene adressiert.</w:t>
            </w:r>
          </w:p>
        </w:tc>
      </w:tr>
      <w:tr>
        <w:tc>
          <w:tcPr>
            <w:tcW w:type="dxa" w:w="3888"/>
            <w:vAlign w:val="top"/>
          </w:tcPr>
          <w:p>
            <w:r/>
            <w:r>
              <w:rPr>
                <w:rFonts w:ascii="Arial" w:hAnsi="Arial"/>
                <w:b w:val="0"/>
                <w:sz w:val="16"/>
              </w:rPr>
              <w:t>Psalm 82 beweist eine vollständige Liste der Elohim.</w:t>
            </w:r>
          </w:p>
        </w:tc>
        <w:tc>
          <w:tcPr>
            <w:tcW w:type="dxa" w:w="1512"/>
            <w:vAlign w:val="top"/>
          </w:tcPr>
          <w:p>
            <w:r/>
            <w:r>
              <w:rPr>
                <w:rFonts w:ascii="Arial" w:hAnsi="Arial"/>
                <w:b w:val="0"/>
                <w:sz w:val="16"/>
              </w:rPr>
              <w:t>nicht belegt</w:t>
            </w:r>
          </w:p>
        </w:tc>
        <w:tc>
          <w:tcPr>
            <w:tcW w:type="dxa" w:w="3960"/>
            <w:vAlign w:val="top"/>
          </w:tcPr>
          <w:p>
            <w:r/>
            <w:r>
              <w:rPr>
                <w:rFonts w:ascii="Arial" w:hAnsi="Arial"/>
                <w:b w:val="0"/>
                <w:sz w:val="16"/>
              </w:rPr>
              <w:t>Der Text nennt keine Namen außer den Gottesbezeichnungen.</w:t>
            </w:r>
          </w:p>
        </w:tc>
      </w:tr>
      <w:tr>
        <w:tc>
          <w:tcPr>
            <w:tcW w:type="dxa" w:w="3888"/>
            <w:vAlign w:val="top"/>
          </w:tcPr>
          <w:p>
            <w:r/>
            <w:r>
              <w:rPr>
                <w:rFonts w:ascii="Arial" w:hAnsi="Arial"/>
                <w:b w:val="0"/>
                <w:sz w:val="16"/>
              </w:rPr>
              <w:t>1 Kön 22 bezeugt einen himmlischen Hofrat.</w:t>
            </w:r>
          </w:p>
        </w:tc>
        <w:tc>
          <w:tcPr>
            <w:tcW w:type="dxa" w:w="1512"/>
            <w:vAlign w:val="top"/>
          </w:tcPr>
          <w:p>
            <w:r/>
            <w:r>
              <w:rPr>
                <w:rFonts w:ascii="Arial" w:hAnsi="Arial"/>
                <w:b w:val="0"/>
                <w:sz w:val="16"/>
              </w:rPr>
              <w:t>belegt</w:t>
            </w:r>
          </w:p>
        </w:tc>
        <w:tc>
          <w:tcPr>
            <w:tcW w:type="dxa" w:w="3960"/>
            <w:vAlign w:val="top"/>
          </w:tcPr>
          <w:p>
            <w:r/>
            <w:r>
              <w:rPr>
                <w:rFonts w:ascii="Arial" w:hAnsi="Arial"/>
                <w:b w:val="0"/>
                <w:sz w:val="16"/>
              </w:rPr>
              <w:t>JHWH thront, das Himmelsheer steht, ein Geist übernimmt eine Mission.</w:t>
            </w:r>
          </w:p>
        </w:tc>
      </w:tr>
      <w:tr>
        <w:tc>
          <w:tcPr>
            <w:tcW w:type="dxa" w:w="3888"/>
            <w:vAlign w:val="top"/>
          </w:tcPr>
          <w:p>
            <w:r/>
            <w:r>
              <w:rPr>
                <w:rFonts w:ascii="Arial" w:hAnsi="Arial"/>
                <w:b w:val="0"/>
                <w:sz w:val="16"/>
              </w:rPr>
              <w:t>Ugarit liefert den wichtigsten westsemitischen Vergleichsrahmen.</w:t>
            </w:r>
          </w:p>
        </w:tc>
        <w:tc>
          <w:tcPr>
            <w:tcW w:type="dxa" w:w="1512"/>
            <w:vAlign w:val="top"/>
          </w:tcPr>
          <w:p>
            <w:r/>
            <w:r>
              <w:rPr>
                <w:rFonts w:ascii="Arial" w:hAnsi="Arial"/>
                <w:b w:val="0"/>
                <w:sz w:val="16"/>
              </w:rPr>
              <w:t>belegt</w:t>
            </w:r>
          </w:p>
        </w:tc>
        <w:tc>
          <w:tcPr>
            <w:tcW w:type="dxa" w:w="3960"/>
            <w:vAlign w:val="top"/>
          </w:tcPr>
          <w:p>
            <w:r/>
            <w:r>
              <w:rPr>
                <w:rFonts w:ascii="Arial" w:hAnsi="Arial"/>
                <w:b w:val="0"/>
                <w:sz w:val="16"/>
              </w:rPr>
              <w:t>El, Baal, Athirat und göttliche Rats-/Familienstrukturen sind dort gut bezeugt.</w:t>
            </w:r>
          </w:p>
        </w:tc>
      </w:tr>
      <w:tr>
        <w:tc>
          <w:tcPr>
            <w:tcW w:type="dxa" w:w="3888"/>
            <w:vAlign w:val="top"/>
          </w:tcPr>
          <w:p>
            <w:r/>
            <w:r>
              <w:rPr>
                <w:rFonts w:ascii="Arial" w:hAnsi="Arial"/>
                <w:b w:val="0"/>
                <w:sz w:val="16"/>
              </w:rPr>
              <w:t>Die siebzig Söhne Athirats erklären Dtn 32 und Gen 10 direkt.</w:t>
            </w:r>
          </w:p>
        </w:tc>
        <w:tc>
          <w:tcPr>
            <w:tcW w:type="dxa" w:w="1512"/>
            <w:vAlign w:val="top"/>
          </w:tcPr>
          <w:p>
            <w:r/>
            <w:r>
              <w:rPr>
                <w:rFonts w:ascii="Arial" w:hAnsi="Arial"/>
                <w:b w:val="0"/>
                <w:sz w:val="16"/>
              </w:rPr>
              <w:t>plausibel</w:t>
            </w:r>
          </w:p>
        </w:tc>
        <w:tc>
          <w:tcPr>
            <w:tcW w:type="dxa" w:w="3960"/>
            <w:vAlign w:val="top"/>
          </w:tcPr>
          <w:p>
            <w:r/>
            <w:r>
              <w:rPr>
                <w:rFonts w:ascii="Arial" w:hAnsi="Arial"/>
                <w:b w:val="0"/>
                <w:sz w:val="16"/>
              </w:rPr>
              <w:t>Die Zahl ist ein starker Vergleichspunkt, aber direkte Abhängigkeit ist nicht beweisbar.</w:t>
            </w:r>
          </w:p>
        </w:tc>
      </w:tr>
      <w:tr>
        <w:tc>
          <w:tcPr>
            <w:tcW w:type="dxa" w:w="3888"/>
            <w:vAlign w:val="top"/>
          </w:tcPr>
          <w:p>
            <w:r/>
            <w:r>
              <w:rPr>
                <w:rFonts w:ascii="Arial" w:hAnsi="Arial"/>
                <w:b w:val="0"/>
                <w:sz w:val="16"/>
              </w:rPr>
              <w:t>JHWH übernahm El-Titel und El-Funktionen.</w:t>
            </w:r>
          </w:p>
        </w:tc>
        <w:tc>
          <w:tcPr>
            <w:tcW w:type="dxa" w:w="1512"/>
            <w:vAlign w:val="top"/>
          </w:tcPr>
          <w:p>
            <w:r/>
            <w:r>
              <w:rPr>
                <w:rFonts w:ascii="Arial" w:hAnsi="Arial"/>
                <w:b w:val="0"/>
                <w:sz w:val="16"/>
              </w:rPr>
              <w:t>plausibel</w:t>
            </w:r>
          </w:p>
        </w:tc>
        <w:tc>
          <w:tcPr>
            <w:tcW w:type="dxa" w:w="3960"/>
            <w:vAlign w:val="top"/>
          </w:tcPr>
          <w:p>
            <w:r/>
            <w:r>
              <w:rPr>
                <w:rFonts w:ascii="Arial" w:hAnsi="Arial"/>
                <w:b w:val="0"/>
                <w:sz w:val="16"/>
              </w:rPr>
              <w:t>Biblische El-Titel und spätere JHWH-Hochgottstellung sprechen dafür; der Ablauf bleibt rekonstruiert.</w:t>
            </w:r>
          </w:p>
        </w:tc>
      </w:tr>
      <w:tr>
        <w:tc>
          <w:tcPr>
            <w:tcW w:type="dxa" w:w="3888"/>
            <w:vAlign w:val="top"/>
          </w:tcPr>
          <w:p>
            <w:r/>
            <w:r>
              <w:rPr>
                <w:rFonts w:ascii="Arial" w:hAnsi="Arial"/>
                <w:b w:val="0"/>
                <w:sz w:val="16"/>
              </w:rPr>
              <w:t>JHWH übernahm Baal-Motive.</w:t>
            </w:r>
          </w:p>
        </w:tc>
        <w:tc>
          <w:tcPr>
            <w:tcW w:type="dxa" w:w="1512"/>
            <w:vAlign w:val="top"/>
          </w:tcPr>
          <w:p>
            <w:r/>
            <w:r>
              <w:rPr>
                <w:rFonts w:ascii="Arial" w:hAnsi="Arial"/>
                <w:b w:val="0"/>
                <w:sz w:val="16"/>
              </w:rPr>
              <w:t>plausibel</w:t>
            </w:r>
          </w:p>
        </w:tc>
        <w:tc>
          <w:tcPr>
            <w:tcW w:type="dxa" w:w="3960"/>
            <w:vAlign w:val="top"/>
          </w:tcPr>
          <w:p>
            <w:r/>
            <w:r>
              <w:rPr>
                <w:rFonts w:ascii="Arial" w:hAnsi="Arial"/>
                <w:b w:val="0"/>
                <w:sz w:val="16"/>
              </w:rPr>
              <w:t>Wolken-, Donner-, Regen-, Sturm- und Chaoskampfmotive passen zum Baal/Hadad-Vergleich.</w:t>
            </w:r>
          </w:p>
        </w:tc>
      </w:tr>
      <w:tr>
        <w:tc>
          <w:tcPr>
            <w:tcW w:type="dxa" w:w="3888"/>
            <w:vAlign w:val="top"/>
          </w:tcPr>
          <w:p>
            <w:r/>
            <w:r>
              <w:rPr>
                <w:rFonts w:ascii="Arial" w:hAnsi="Arial"/>
                <w:b w:val="0"/>
                <w:sz w:val="16"/>
              </w:rPr>
              <w:t>JHWH und Baal waren ursprünglich dieselbe Gottheit.</w:t>
            </w:r>
          </w:p>
        </w:tc>
        <w:tc>
          <w:tcPr>
            <w:tcW w:type="dxa" w:w="1512"/>
            <w:vAlign w:val="top"/>
          </w:tcPr>
          <w:p>
            <w:r/>
            <w:r>
              <w:rPr>
                <w:rFonts w:ascii="Arial" w:hAnsi="Arial"/>
                <w:b w:val="0"/>
                <w:sz w:val="16"/>
              </w:rPr>
              <w:t>nicht belegt</w:t>
            </w:r>
          </w:p>
        </w:tc>
        <w:tc>
          <w:tcPr>
            <w:tcW w:type="dxa" w:w="3960"/>
            <w:vAlign w:val="top"/>
          </w:tcPr>
          <w:p>
            <w:r/>
            <w:r>
              <w:rPr>
                <w:rFonts w:ascii="Arial" w:hAnsi="Arial"/>
                <w:b w:val="0"/>
                <w:sz w:val="16"/>
              </w:rPr>
              <w:t>Funktionsübernahme ist nicht Identität.</w:t>
            </w:r>
          </w:p>
        </w:tc>
      </w:tr>
      <w:tr>
        <w:tc>
          <w:tcPr>
            <w:tcW w:type="dxa" w:w="3888"/>
            <w:vAlign w:val="top"/>
          </w:tcPr>
          <w:p>
            <w:r/>
            <w:r>
              <w:rPr>
                <w:rFonts w:ascii="Arial" w:hAnsi="Arial"/>
                <w:b w:val="0"/>
                <w:sz w:val="16"/>
              </w:rPr>
              <w:t>Kuntillet Ajrud/Khirbet el-Qom belegen JHWH-Aschera-Verbindung.</w:t>
            </w:r>
          </w:p>
        </w:tc>
        <w:tc>
          <w:tcPr>
            <w:tcW w:type="dxa" w:w="1512"/>
            <w:vAlign w:val="top"/>
          </w:tcPr>
          <w:p>
            <w:r/>
            <w:r>
              <w:rPr>
                <w:rFonts w:ascii="Arial" w:hAnsi="Arial"/>
                <w:b w:val="0"/>
                <w:sz w:val="16"/>
              </w:rPr>
              <w:t>belegt</w:t>
            </w:r>
          </w:p>
        </w:tc>
        <w:tc>
          <w:tcPr>
            <w:tcW w:type="dxa" w:w="3960"/>
            <w:vAlign w:val="top"/>
          </w:tcPr>
          <w:p>
            <w:r/>
            <w:r>
              <w:rPr>
                <w:rFonts w:ascii="Arial" w:hAnsi="Arial"/>
                <w:b w:val="0"/>
                <w:sz w:val="16"/>
              </w:rPr>
              <w:t>Die Formel ist epigraphisch belegt; genaue Deutung bleibt offen.</w:t>
            </w:r>
          </w:p>
        </w:tc>
      </w:tr>
      <w:tr>
        <w:tc>
          <w:tcPr>
            <w:tcW w:type="dxa" w:w="3888"/>
            <w:vAlign w:val="top"/>
          </w:tcPr>
          <w:p>
            <w:r/>
            <w:r>
              <w:rPr>
                <w:rFonts w:ascii="Arial" w:hAnsi="Arial"/>
                <w:b w:val="0"/>
                <w:sz w:val="16"/>
              </w:rPr>
              <w:t>Aschera war sicher JHWHs Ehefrau.</w:t>
            </w:r>
          </w:p>
        </w:tc>
        <w:tc>
          <w:tcPr>
            <w:tcW w:type="dxa" w:w="1512"/>
            <w:vAlign w:val="top"/>
          </w:tcPr>
          <w:p>
            <w:r/>
            <w:r>
              <w:rPr>
                <w:rFonts w:ascii="Arial" w:hAnsi="Arial"/>
                <w:b w:val="0"/>
                <w:sz w:val="16"/>
              </w:rPr>
              <w:t>strittig</w:t>
            </w:r>
          </w:p>
        </w:tc>
        <w:tc>
          <w:tcPr>
            <w:tcW w:type="dxa" w:w="3960"/>
            <w:vAlign w:val="top"/>
          </w:tcPr>
          <w:p>
            <w:r/>
            <w:r>
              <w:rPr>
                <w:rFonts w:ascii="Arial" w:hAnsi="Arial"/>
                <w:b w:val="0"/>
                <w:sz w:val="16"/>
              </w:rPr>
              <w:t>Möglich, aber Kultsymbol-/Hypostasen-Deutungen sind ernstzunehmend.</w:t>
            </w:r>
          </w:p>
        </w:tc>
      </w:tr>
      <w:tr>
        <w:tc>
          <w:tcPr>
            <w:tcW w:type="dxa" w:w="3888"/>
            <w:vAlign w:val="top"/>
          </w:tcPr>
          <w:p>
            <w:r/>
            <w:r>
              <w:rPr>
                <w:rFonts w:ascii="Arial" w:hAnsi="Arial"/>
                <w:b w:val="0"/>
                <w:sz w:val="16"/>
              </w:rPr>
              <w:t>Anunnaki und Elohim sind identisch.</w:t>
            </w:r>
          </w:p>
        </w:tc>
        <w:tc>
          <w:tcPr>
            <w:tcW w:type="dxa" w:w="1512"/>
            <w:vAlign w:val="top"/>
          </w:tcPr>
          <w:p>
            <w:r/>
            <w:r>
              <w:rPr>
                <w:rFonts w:ascii="Arial" w:hAnsi="Arial"/>
                <w:b w:val="0"/>
                <w:sz w:val="16"/>
              </w:rPr>
              <w:t>nicht belegt</w:t>
            </w:r>
          </w:p>
        </w:tc>
        <w:tc>
          <w:tcPr>
            <w:tcW w:type="dxa" w:w="3960"/>
            <w:vAlign w:val="top"/>
          </w:tcPr>
          <w:p>
            <w:r/>
            <w:r>
              <w:rPr>
                <w:rFonts w:ascii="Arial" w:hAnsi="Arial"/>
                <w:b w:val="0"/>
                <w:sz w:val="16"/>
              </w:rPr>
              <w:t>Sprachlich, kulturell und religionsgeschichtlich nicht nachweisbar.</w:t>
            </w:r>
          </w:p>
        </w:tc>
      </w:tr>
      <w:tr>
        <w:tc>
          <w:tcPr>
            <w:tcW w:type="dxa" w:w="3888"/>
            <w:vAlign w:val="top"/>
          </w:tcPr>
          <w:p>
            <w:r/>
            <w:r>
              <w:rPr>
                <w:rFonts w:ascii="Arial" w:hAnsi="Arial"/>
                <w:b w:val="0"/>
                <w:sz w:val="16"/>
              </w:rPr>
              <w:t>1 Henoch und Jubiläen zeigen Umdeutung zu Engeln/Dämonen.</w:t>
            </w:r>
          </w:p>
        </w:tc>
        <w:tc>
          <w:tcPr>
            <w:tcW w:type="dxa" w:w="1512"/>
            <w:vAlign w:val="top"/>
          </w:tcPr>
          <w:p>
            <w:r/>
            <w:r>
              <w:rPr>
                <w:rFonts w:ascii="Arial" w:hAnsi="Arial"/>
                <w:b w:val="0"/>
                <w:sz w:val="16"/>
              </w:rPr>
              <w:t>belegt</w:t>
            </w:r>
          </w:p>
        </w:tc>
        <w:tc>
          <w:tcPr>
            <w:tcW w:type="dxa" w:w="3960"/>
            <w:vAlign w:val="top"/>
          </w:tcPr>
          <w:p>
            <w:r/>
            <w:r>
              <w:rPr>
                <w:rFonts w:ascii="Arial" w:hAnsi="Arial"/>
                <w:b w:val="0"/>
                <w:sz w:val="16"/>
              </w:rPr>
              <w:t>Wächter, Riesen-Geister, Mastema und böse Geister sind einschlägig.</w:t>
            </w:r>
          </w:p>
        </w:tc>
      </w:tr>
      <w:tr>
        <w:tc>
          <w:tcPr>
            <w:tcW w:type="dxa" w:w="3888"/>
            <w:vAlign w:val="top"/>
          </w:tcPr>
          <w:p>
            <w:r/>
            <w:r>
              <w:rPr>
                <w:rFonts w:ascii="Arial" w:hAnsi="Arial"/>
                <w:b w:val="0"/>
                <w:sz w:val="16"/>
              </w:rPr>
              <w:t>Alle alten Elohim wurden Engel.</w:t>
            </w:r>
          </w:p>
        </w:tc>
        <w:tc>
          <w:tcPr>
            <w:tcW w:type="dxa" w:w="1512"/>
            <w:vAlign w:val="top"/>
          </w:tcPr>
          <w:p>
            <w:r/>
            <w:r>
              <w:rPr>
                <w:rFonts w:ascii="Arial" w:hAnsi="Arial"/>
                <w:b w:val="0"/>
                <w:sz w:val="16"/>
              </w:rPr>
              <w:t>nicht belegt</w:t>
            </w:r>
          </w:p>
        </w:tc>
        <w:tc>
          <w:tcPr>
            <w:tcW w:type="dxa" w:w="3960"/>
            <w:vAlign w:val="top"/>
          </w:tcPr>
          <w:p>
            <w:r/>
            <w:r>
              <w:rPr>
                <w:rFonts w:ascii="Arial" w:hAnsi="Arial"/>
                <w:b w:val="0"/>
                <w:sz w:val="16"/>
              </w:rPr>
              <w:t>Die Quellen zeigen mehrere Pfade: Unterordnung, Dämonisierung, Polemik, Verschwinden.</w:t>
            </w:r>
          </w:p>
        </w:tc>
      </w:tr>
      <w:tr>
        <w:tc>
          <w:tcPr>
            <w:tcW w:type="dxa" w:w="3888"/>
            <w:vAlign w:val="top"/>
          </w:tcPr>
          <w:p>
            <w:r/>
            <w:r>
              <w:rPr>
                <w:rFonts w:ascii="Arial" w:hAnsi="Arial"/>
                <w:b w:val="0"/>
                <w:sz w:val="16"/>
              </w:rPr>
              <w:t>Der Übergang zum Monotheismus ist ein mehrstufiges Schichtenmodell.</w:t>
            </w:r>
          </w:p>
        </w:tc>
        <w:tc>
          <w:tcPr>
            <w:tcW w:type="dxa" w:w="1512"/>
            <w:vAlign w:val="top"/>
          </w:tcPr>
          <w:p>
            <w:r/>
            <w:r>
              <w:rPr>
                <w:rFonts w:ascii="Arial" w:hAnsi="Arial"/>
                <w:b w:val="0"/>
                <w:sz w:val="16"/>
              </w:rPr>
              <w:t>plausibel</w:t>
            </w:r>
          </w:p>
        </w:tc>
        <w:tc>
          <w:tcPr>
            <w:tcW w:type="dxa" w:w="3960"/>
            <w:vAlign w:val="top"/>
          </w:tcPr>
          <w:p>
            <w:r/>
            <w:r>
              <w:rPr>
                <w:rFonts w:ascii="Arial" w:hAnsi="Arial"/>
                <w:b w:val="0"/>
                <w:sz w:val="16"/>
              </w:rPr>
              <w:t>Erklärt die Gesamtquellen besser als ein Einzelereignis.</w:t>
            </w:r>
          </w:p>
        </w:tc>
      </w:tr>
    </w:tbl>
    <w:p>
      <w:pPr>
        <w:pStyle w:val="Heading1"/>
      </w:pPr>
      <w:r>
        <w:t>Arbeitsmodell nach Dossiers A-E</w:t>
      </w:r>
    </w:p>
    <w:p>
      <w:pPr>
        <w:pStyle w:val="ListNumber"/>
      </w:pPr>
      <w:r>
        <w:rPr>
          <w:rFonts w:ascii="Arial" w:hAnsi="Arial"/>
        </w:rPr>
        <w:t>Westsemitischer Hintergrund: El, Athirat/Aschera, Baal/Hadad und göttliche Ratsstrukturen bilden den unmittelbaren Kontext.</w:t>
      </w:r>
    </w:p>
    <w:p>
      <w:pPr>
        <w:pStyle w:val="ListNumber"/>
      </w:pPr>
      <w:r>
        <w:rPr>
          <w:rFonts w:ascii="Arial" w:hAnsi="Arial"/>
        </w:rPr>
        <w:t>Frühe Israel/Juda-Religion: JHWH wird als Gott Israels im Kontext älterer Völker- und Götterordnung sichtbar.</w:t>
      </w:r>
    </w:p>
    <w:p>
      <w:pPr>
        <w:pStyle w:val="ListNumber"/>
      </w:pPr>
      <w:r>
        <w:rPr>
          <w:rFonts w:ascii="Arial" w:hAnsi="Arial"/>
        </w:rPr>
        <w:t>JHWH-El-Identifikation: JHWH übernimmt Hochgott-Titel und Funktionen Els; Baal-Motive werden übernommen und zugleich polemisch bekämpft.</w:t>
      </w:r>
    </w:p>
    <w:p>
      <w:pPr>
        <w:pStyle w:val="ListNumber"/>
      </w:pPr>
      <w:r>
        <w:rPr>
          <w:rFonts w:ascii="Arial" w:hAnsi="Arial"/>
        </w:rPr>
        <w:t>Monolatrie und Exklusivierung: Kultisch wird JHWH allein legitim; andere Mächte bleiben zunächst als reale göttliche/himmlische Wesen denkbar.</w:t>
      </w:r>
    </w:p>
    <w:p>
      <w:pPr>
        <w:pStyle w:val="ListNumber"/>
      </w:pPr>
      <w:r>
        <w:rPr>
          <w:rFonts w:ascii="Arial" w:hAnsi="Arial"/>
        </w:rPr>
        <w:t>Second-Temple-Umdeutung: göttliche Mehrwesenheit wird in Engel-, Wächter-, Dämonen- und Himmelsheer-Systeme überführt.</w:t>
      </w:r>
    </w:p>
    <w:p>
      <w:pPr>
        <w:pStyle w:val="Heading1"/>
      </w:pPr>
      <w:r>
        <w:t>Offene Forschungsfragen</w:t>
      </w:r>
    </w:p>
    <w:p>
      <w:pPr>
        <w:pStyle w:val="ListBullet"/>
      </w:pPr>
      <w:r>
        <w:rPr>
          <w:rFonts w:ascii="Arial" w:hAnsi="Arial"/>
        </w:rPr>
        <w:t>Welche Lesart von Dtn 32,8 lässt sich in einer detaillierten Textsynopse mit MT, 4QDeutj, LXX, Vulgata, Old Latin und Targum am besten begründen?</w:t>
      </w:r>
    </w:p>
    <w:p>
      <w:pPr>
        <w:pStyle w:val="ListBullet"/>
      </w:pPr>
      <w:r>
        <w:rPr>
          <w:rFonts w:ascii="Arial" w:hAnsi="Arial"/>
        </w:rPr>
        <w:t>Ist Psalm 82 eher ein Text, in dem JHWH im El-Gericht auftritt, oder ein Text, in dem JHWH bereits selbst die El-Rolle besetzt?</w:t>
      </w:r>
    </w:p>
    <w:p>
      <w:pPr>
        <w:pStyle w:val="ListBullet"/>
      </w:pPr>
      <w:r>
        <w:rPr>
          <w:rFonts w:ascii="Arial" w:hAnsi="Arial"/>
        </w:rPr>
        <w:t>Welche Baal-Motive in JHWH-Texten sind literarische Übernahmen, welche sind allgemeine Sturmtheophanie?</w:t>
      </w:r>
    </w:p>
    <w:p>
      <w:pPr>
        <w:pStyle w:val="ListBullet"/>
      </w:pPr>
      <w:r>
        <w:rPr>
          <w:rFonts w:ascii="Arial" w:hAnsi="Arial"/>
        </w:rPr>
        <w:t>Lässt sich Aschera im israelitischen Kontext als Göttin, Kultsymbol oder beides modellieren?</w:t>
      </w:r>
    </w:p>
    <w:p>
      <w:pPr>
        <w:pStyle w:val="ListBullet"/>
      </w:pPr>
      <w:r>
        <w:rPr>
          <w:rFonts w:ascii="Arial" w:hAnsi="Arial"/>
        </w:rPr>
        <w:t>Welche Second-Temple-Wesen sind Fortsetzungen älterer Elohim-Motive, und welche sind neue apokalyptische Konstruktionen?</w:t>
      </w:r>
    </w:p>
    <w:p>
      <w:pPr>
        <w:pStyle w:val="Heading1"/>
      </w:pPr>
      <w:r>
        <w:t>Quellenverzeichnis</w:t>
      </w:r>
    </w:p>
    <w:p>
      <w:r>
        <w:rPr>
          <w:rFonts w:ascii="Arial" w:hAnsi="Arial"/>
        </w:rPr>
        <w:t>Tov 2023/2026: Emanuel Tov, The Sons of Israel or God? - Deuteronomy 32:8. https://www.thetorah.com/article/the-sons-of-israel-or-god-deuteronomy-32-8</w:t>
      </w:r>
    </w:p>
    <w:p>
      <w:r>
        <w:rPr>
          <w:rFonts w:ascii="Arial" w:hAnsi="Arial"/>
        </w:rPr>
        <w:t>Sefaria Onkelos: Onkelos Deuteronomy 32. https://www.sefaria.org/Onkelos_Deuteronomy.32</w:t>
      </w:r>
    </w:p>
    <w:p>
      <w:r>
        <w:rPr>
          <w:rFonts w:ascii="Arial" w:hAnsi="Arial"/>
        </w:rPr>
        <w:t>BibleGateway Vulgate: Deuteronomium 32:8, Biblia Sacra Vulgata. https://www.biblegateway.com/passage/?search=Deuteronomium+32%3A8&amp;version=VULGATE</w:t>
      </w:r>
    </w:p>
    <w:p>
      <w:r>
        <w:rPr>
          <w:rFonts w:ascii="Arial" w:hAnsi="Arial"/>
        </w:rPr>
        <w:t>Kee 2007: Min Suc Kee, The Heavenly Council and its Type-scene. https://journals.sagepub.com/doi/10.1177/0309089207076356</w:t>
      </w:r>
    </w:p>
    <w:p>
      <w:r>
        <w:rPr>
          <w:rFonts w:ascii="Arial" w:hAnsi="Arial"/>
        </w:rPr>
        <w:t>Frankel 2010: David Frankel, El as the Speaking Voice in Psalm 82:6-8. https://jhsonline.org/index.php/jhs/article/view/11282</w:t>
      </w:r>
    </w:p>
    <w:p>
      <w:r>
        <w:rPr>
          <w:rFonts w:ascii="Arial" w:hAnsi="Arial"/>
        </w:rPr>
        <w:t>Smith 2001: Mark S. Smith, The Origins of Biblical Monotheism, chapter The Divine Council. https://academic.oup.com/book/12858/chapter-abstract/163141250</w:t>
      </w:r>
    </w:p>
    <w:p>
      <w:r>
        <w:rPr>
          <w:rFonts w:ascii="Arial" w:hAnsi="Arial"/>
        </w:rPr>
        <w:t>Wyatt 2006: Nicolas Wyatt, The seventy sons of Athirat.... https://www.research.ed.ac.uk/en/publications/the-seventy-sons-of-athirat-the-nations-of-the-world-deuteronomy-/</w:t>
      </w:r>
    </w:p>
    <w:p>
      <w:r>
        <w:rPr>
          <w:rFonts w:ascii="Arial" w:hAnsi="Arial"/>
        </w:rPr>
        <w:t>Smoak/Schniedewind 2019: Religion at Kuntillet Ajrud. https://www.mdpi.com/2077-1444/10/3/211</w:t>
      </w:r>
    </w:p>
    <w:p>
      <w:r>
        <w:rPr>
          <w:rFonts w:ascii="Arial" w:hAnsi="Arial"/>
        </w:rPr>
        <w:t>Kim 2018: Kuntillet Ajrud 'Yahweh and His Asherah' and the Goddess Asherah. https://journal.kci.go.kr/ksots/archive/articleView?artiId=ART002386920</w:t>
      </w:r>
    </w:p>
    <w:p>
      <w:r>
        <w:rPr>
          <w:rFonts w:ascii="Arial" w:hAnsi="Arial"/>
        </w:rPr>
        <w:t>Na'aman 2017: In Search of the Temples of YHWH of Samaria and YHWH of Teman. https://brill.com/view/journals/jane/17/1/article-p76_4.pdf</w:t>
      </w:r>
    </w:p>
    <w:p>
      <w:r>
        <w:rPr>
          <w:rFonts w:ascii="Arial" w:hAnsi="Arial"/>
        </w:rPr>
        <w:t>Harkins/Bautch/Endres 2014: The Watchers in Jewish and Christian Traditions. https://www.jstor.org/stable/j.ctt22nmb25</w:t>
      </w:r>
    </w:p>
    <w:p>
      <w:r>
        <w:rPr>
          <w:rFonts w:ascii="Arial" w:hAnsi="Arial"/>
        </w:rPr>
        <w:t>van Ruiten 2007: Angels and Demons in the Book of Jubilees. https://research.rug.nl/en/publications/angels-and-demons-in-the-book-of-jubilees/</w:t>
      </w:r>
    </w:p>
    <w:p>
      <w:r>
        <w:rPr>
          <w:rFonts w:ascii="Arial" w:hAnsi="Arial"/>
        </w:rPr>
        <w:t>Reynolds 2013: Understanding the Demonologies of the Dead Sea Scrolls. https://compass.onlinelibrary.wiley.com/doi/abs/10.1111/rec3.12038</w:t>
      </w:r>
    </w:p>
    <w:p>
      <w:r>
        <w:rPr>
          <w:rFonts w:ascii="Arial" w:hAnsi="Arial"/>
        </w:rPr>
        <w:t>Mizrahi: Songs of the Sabbath Sacrifice. https://noammizrahi.huji.ac.il/songs-sabbath-sacrifice/</w:t>
      </w:r>
    </w:p>
    <w:p>
      <w:pPr>
        <w:pStyle w:val="Heading1"/>
      </w:pPr>
      <w:r>
        <w:t>Technischer Hinweis</w:t>
      </w:r>
    </w:p>
    <w:p>
      <w:r>
        <w:rPr>
          <w:rFonts w:ascii="Arial" w:hAnsi="Arial"/>
        </w:rPr>
        <w:t>Die Datei wurde mit dem Google-Docs-Default-Preset als DOCX erzeugt. Eine vollständige visuelle Renderprüfung mit LibreOffice konnte nicht durchgeführt werden, da soffice/LibreOffice in dieser Umgebung nicht verfügbar ist. Strukturelle DOCX-Prüfung und Google-Drive-Import werden separat durchgeführt.</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000000"/>
      <w:sz w:val="4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000000"/>
      <w:sz w:val="3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434343"/>
      <w:sz w:val="2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