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color w:val="000000"/>
          <w:sz w:val="52"/>
        </w:rPr>
        <w:t>Einbindung in die Hauptausarbeitung</w:t>
      </w:r>
    </w:p>
    <w:p>
      <w:pPr>
        <w:jc w:val="center"/>
      </w:pPr>
      <w:r>
        <w:rPr>
          <w:i/>
        </w:rPr>
        <w:t>Erweitertes Modell, Gottheiten-Motivmatrix, Anunnaki-Frage, Aschera-Streitdossier und Second-Temple-Abgrenzung</w:t>
      </w:r>
    </w:p>
    <w:p>
      <w:pPr>
        <w:pStyle w:val="Heading1"/>
      </w:pPr>
      <w:r>
        <w:t>1. Zweck der Einbindung</w:t>
      </w:r>
    </w:p>
    <w:p>
      <w:r>
        <w:rPr>
          <w:rFonts w:ascii="Arial" w:hAnsi="Arial"/>
        </w:rPr>
        <w:t>Dieses Dokument führt die nächste Einbindung in die Hauptausarbeitung aus. Es ergänzt das bisherige Vier-Stufen-Modell um eine Vorstufe, trennt methodisch Identität von Funktionsübernahme, führt eine eigene Gottheiten-Motivmatrix ein, behandelt die Anunnaki-Frage als Vergleichs- und Einflussfrage, isoliert Aschera als Streitdossier und verschiebt Erzengel/Wächter konsequent in die Second-Temple-Phase.</w:t>
      </w:r>
    </w:p>
    <w:p>
      <w:pPr>
        <w:pStyle w:val="Heading1"/>
      </w:pPr>
      <w:r>
        <w:t>2. Erweiterung des Vier-Stufen-Modells um die Vorstufe</w:t>
      </w:r>
    </w:p>
    <w:p>
      <w:r>
        <w:rPr>
          <w:rFonts w:ascii="Arial" w:hAnsi="Arial"/>
        </w:rPr>
        <w:t>Das bisherige Vier-Stufen-Modell wird nicht verworfen, sondern um eine historische Vorstufe erweitert. Diese Vorstufe erklärt, wer die Trägergruppe der späteren JHWH-Religion war und in welcher religiösen Umwelt sie entstand.</w:t>
      </w:r>
    </w:p>
    <w:tbl>
      <w:tblPr>
        <w:tblStyle w:val="TableGrid"/>
        <w:tblW w:type="auto" w:w="0"/>
        <w:jc w:val="left"/>
        <w:tblLook w:firstColumn="1" w:firstRow="1" w:lastColumn="0" w:lastRow="0" w:noHBand="0" w:noVBand="1" w:val="04A0"/>
      </w:tblPr>
      <w:tblGrid>
        <w:gridCol w:w="2340"/>
        <w:gridCol w:w="2340"/>
        <w:gridCol w:w="2340"/>
        <w:gridCol w:w="2340"/>
      </w:tblGrid>
      <w:tr>
        <w:tc>
          <w:tcPr>
            <w:tcW w:type="dxa" w:w="1440"/>
            <w:vAlign w:val="top"/>
            <w:shd w:fill="F1F3F4"/>
          </w:tcPr>
          <w:p>
            <w:r/>
            <w:r>
              <w:rPr>
                <w:rFonts w:ascii="Arial" w:hAnsi="Arial"/>
                <w:b/>
                <w:sz w:val="16"/>
              </w:rPr>
              <w:t>Phase</w:t>
            </w:r>
          </w:p>
        </w:tc>
        <w:tc>
          <w:tcPr>
            <w:tcW w:type="dxa" w:w="3816"/>
            <w:vAlign w:val="top"/>
            <w:shd w:fill="F1F3F4"/>
          </w:tcPr>
          <w:p>
            <w:r/>
            <w:r>
              <w:rPr>
                <w:rFonts w:ascii="Arial" w:hAnsi="Arial"/>
                <w:b/>
                <w:sz w:val="16"/>
              </w:rPr>
              <w:t>Beschreibung</w:t>
            </w:r>
          </w:p>
        </w:tc>
        <w:tc>
          <w:tcPr>
            <w:tcW w:type="dxa" w:w="2880"/>
            <w:vAlign w:val="top"/>
            <w:shd w:fill="F1F3F4"/>
          </w:tcPr>
          <w:p>
            <w:r/>
            <w:r>
              <w:rPr>
                <w:rFonts w:ascii="Arial" w:hAnsi="Arial"/>
                <w:b/>
                <w:sz w:val="16"/>
              </w:rPr>
              <w:t>Funktion in der Hauptthese</w:t>
            </w:r>
          </w:p>
        </w:tc>
        <w:tc>
          <w:tcPr>
            <w:tcW w:type="dxa" w:w="1224"/>
            <w:vAlign w:val="top"/>
            <w:shd w:fill="F1F3F4"/>
          </w:tcPr>
          <w:p>
            <w:r/>
            <w:r>
              <w:rPr>
                <w:rFonts w:ascii="Arial" w:hAnsi="Arial"/>
                <w:b/>
                <w:sz w:val="16"/>
              </w:rPr>
              <w:t>Status</w:t>
            </w:r>
          </w:p>
        </w:tc>
      </w:tr>
      <w:tr>
        <w:tc>
          <w:tcPr>
            <w:tcW w:type="dxa" w:w="1440"/>
            <w:vAlign w:val="top"/>
          </w:tcPr>
          <w:p>
            <w:r/>
            <w:r>
              <w:rPr>
                <w:rFonts w:ascii="Arial" w:hAnsi="Arial"/>
                <w:b w:val="0"/>
                <w:sz w:val="16"/>
              </w:rPr>
              <w:t>Vorstufe</w:t>
            </w:r>
          </w:p>
        </w:tc>
        <w:tc>
          <w:tcPr>
            <w:tcW w:type="dxa" w:w="3816"/>
            <w:vAlign w:val="top"/>
          </w:tcPr>
          <w:p>
            <w:r/>
            <w:r>
              <w:rPr>
                <w:rFonts w:ascii="Arial" w:hAnsi="Arial"/>
                <w:b w:val="0"/>
                <w:sz w:val="16"/>
              </w:rPr>
              <w:t>Israelitische Ethnogenese im kanaanäischen Religionsraum: Hochlandgruppen, lokale Kulte, Familienkulte, El, Aschera, Baal/Hadad und mögliche südliche JHWH-Traditionen.</w:t>
            </w:r>
          </w:p>
        </w:tc>
        <w:tc>
          <w:tcPr>
            <w:tcW w:type="dxa" w:w="2880"/>
            <w:vAlign w:val="top"/>
          </w:tcPr>
          <w:p>
            <w:r/>
            <w:r>
              <w:rPr>
                <w:rFonts w:ascii="Arial" w:hAnsi="Arial"/>
                <w:b w:val="0"/>
                <w:sz w:val="16"/>
              </w:rPr>
              <w:t>Historischer Ausgangspunkt; verhindert die falsche Annahme eines fertigen Volkes mit einem einheitlichen Vorgängerkult.</w:t>
            </w:r>
          </w:p>
        </w:tc>
        <w:tc>
          <w:tcPr>
            <w:tcW w:type="dxa" w:w="1224"/>
            <w:vAlign w:val="top"/>
          </w:tcPr>
          <w:p>
            <w:r/>
            <w:r>
              <w:rPr>
                <w:rFonts w:ascii="Arial" w:hAnsi="Arial"/>
                <w:b w:val="0"/>
                <w:sz w:val="16"/>
              </w:rPr>
              <w:t>plausibel / stark gestützt</w:t>
            </w:r>
          </w:p>
        </w:tc>
      </w:tr>
      <w:tr>
        <w:tc>
          <w:tcPr>
            <w:tcW w:type="dxa" w:w="1440"/>
            <w:vAlign w:val="top"/>
          </w:tcPr>
          <w:p>
            <w:r/>
            <w:r>
              <w:rPr>
                <w:rFonts w:ascii="Arial" w:hAnsi="Arial"/>
                <w:b w:val="0"/>
                <w:sz w:val="16"/>
              </w:rPr>
              <w:t>Stufe 1</w:t>
            </w:r>
          </w:p>
        </w:tc>
        <w:tc>
          <w:tcPr>
            <w:tcW w:type="dxa" w:w="3816"/>
            <w:vAlign w:val="top"/>
          </w:tcPr>
          <w:p>
            <w:r/>
            <w:r>
              <w:rPr>
                <w:rFonts w:ascii="Arial" w:hAnsi="Arial"/>
                <w:b w:val="0"/>
                <w:sz w:val="16"/>
              </w:rPr>
              <w:t>Westsemitischer göttlicher Rat mit El/Elyon als Hochgott und Söhnen Els.</w:t>
            </w:r>
          </w:p>
        </w:tc>
        <w:tc>
          <w:tcPr>
            <w:tcW w:type="dxa" w:w="2880"/>
            <w:vAlign w:val="top"/>
          </w:tcPr>
          <w:p>
            <w:r/>
            <w:r>
              <w:rPr>
                <w:rFonts w:ascii="Arial" w:hAnsi="Arial"/>
                <w:b w:val="0"/>
                <w:sz w:val="16"/>
              </w:rPr>
              <w:t>Religiöse Struktur des älteren Hintergrunds.</w:t>
            </w:r>
          </w:p>
        </w:tc>
        <w:tc>
          <w:tcPr>
            <w:tcW w:type="dxa" w:w="1224"/>
            <w:vAlign w:val="top"/>
          </w:tcPr>
          <w:p>
            <w:r/>
            <w:r>
              <w:rPr>
                <w:rFonts w:ascii="Arial" w:hAnsi="Arial"/>
                <w:b w:val="0"/>
                <w:sz w:val="16"/>
              </w:rPr>
              <w:t>belegt als Vergleichsraum</w:t>
            </w:r>
          </w:p>
        </w:tc>
      </w:tr>
      <w:tr>
        <w:tc>
          <w:tcPr>
            <w:tcW w:type="dxa" w:w="1440"/>
            <w:vAlign w:val="top"/>
          </w:tcPr>
          <w:p>
            <w:r/>
            <w:r>
              <w:rPr>
                <w:rFonts w:ascii="Arial" w:hAnsi="Arial"/>
                <w:b w:val="0"/>
                <w:sz w:val="16"/>
              </w:rPr>
              <w:t>Stufe 2</w:t>
            </w:r>
          </w:p>
        </w:tc>
        <w:tc>
          <w:tcPr>
            <w:tcW w:type="dxa" w:w="3816"/>
            <w:vAlign w:val="top"/>
          </w:tcPr>
          <w:p>
            <w:r/>
            <w:r>
              <w:rPr>
                <w:rFonts w:ascii="Arial" w:hAnsi="Arial"/>
                <w:b w:val="0"/>
                <w:sz w:val="16"/>
              </w:rPr>
              <w:t>JHWH als Gott Israels innerhalb einer älteren Völker- und Götterordnung.</w:t>
            </w:r>
          </w:p>
        </w:tc>
        <w:tc>
          <w:tcPr>
            <w:tcW w:type="dxa" w:w="2880"/>
            <w:vAlign w:val="top"/>
          </w:tcPr>
          <w:p>
            <w:r/>
            <w:r>
              <w:rPr>
                <w:rFonts w:ascii="Arial" w:hAnsi="Arial"/>
                <w:b w:val="0"/>
                <w:sz w:val="16"/>
              </w:rPr>
              <w:t>Textkritischer Kern: Dtn 32,8-9 in älterer Lesart.</w:t>
            </w:r>
          </w:p>
        </w:tc>
        <w:tc>
          <w:tcPr>
            <w:tcW w:type="dxa" w:w="1224"/>
            <w:vAlign w:val="top"/>
          </w:tcPr>
          <w:p>
            <w:r/>
            <w:r>
              <w:rPr>
                <w:rFonts w:ascii="Arial" w:hAnsi="Arial"/>
                <w:b w:val="0"/>
                <w:sz w:val="16"/>
              </w:rPr>
              <w:t>plausibel / strittig im Detail</w:t>
            </w:r>
          </w:p>
        </w:tc>
      </w:tr>
      <w:tr>
        <w:tc>
          <w:tcPr>
            <w:tcW w:type="dxa" w:w="1440"/>
            <w:vAlign w:val="top"/>
          </w:tcPr>
          <w:p>
            <w:r/>
            <w:r>
              <w:rPr>
                <w:rFonts w:ascii="Arial" w:hAnsi="Arial"/>
                <w:b w:val="0"/>
                <w:sz w:val="16"/>
              </w:rPr>
              <w:t>Stufe 3</w:t>
            </w:r>
          </w:p>
        </w:tc>
        <w:tc>
          <w:tcPr>
            <w:tcW w:type="dxa" w:w="3816"/>
            <w:vAlign w:val="top"/>
          </w:tcPr>
          <w:p>
            <w:r/>
            <w:r>
              <w:rPr>
                <w:rFonts w:ascii="Arial" w:hAnsi="Arial"/>
                <w:b w:val="0"/>
                <w:sz w:val="16"/>
              </w:rPr>
              <w:t>JHWH wird mit El identifiziert, übernimmt El-Titel und Baal-Funktionen; andere Mächte werden untergeordnet.</w:t>
            </w:r>
          </w:p>
        </w:tc>
        <w:tc>
          <w:tcPr>
            <w:tcW w:type="dxa" w:w="2880"/>
            <w:vAlign w:val="top"/>
          </w:tcPr>
          <w:p>
            <w:r/>
            <w:r>
              <w:rPr>
                <w:rFonts w:ascii="Arial" w:hAnsi="Arial"/>
                <w:b w:val="0"/>
                <w:sz w:val="16"/>
              </w:rPr>
              <w:t>Erklärt Aufstieg, Synkretismus und Funktionsübernahme.</w:t>
            </w:r>
          </w:p>
        </w:tc>
        <w:tc>
          <w:tcPr>
            <w:tcW w:type="dxa" w:w="1224"/>
            <w:vAlign w:val="top"/>
          </w:tcPr>
          <w:p>
            <w:r/>
            <w:r>
              <w:rPr>
                <w:rFonts w:ascii="Arial" w:hAnsi="Arial"/>
                <w:b w:val="0"/>
                <w:sz w:val="16"/>
              </w:rPr>
              <w:t>plausibel</w:t>
            </w:r>
          </w:p>
        </w:tc>
      </w:tr>
      <w:tr>
        <w:tc>
          <w:tcPr>
            <w:tcW w:type="dxa" w:w="1440"/>
            <w:vAlign w:val="top"/>
          </w:tcPr>
          <w:p>
            <w:r/>
            <w:r>
              <w:rPr>
                <w:rFonts w:ascii="Arial" w:hAnsi="Arial"/>
                <w:b w:val="0"/>
                <w:sz w:val="16"/>
              </w:rPr>
              <w:t>Stufe 4</w:t>
            </w:r>
          </w:p>
        </w:tc>
        <w:tc>
          <w:tcPr>
            <w:tcW w:type="dxa" w:w="3816"/>
            <w:vAlign w:val="top"/>
          </w:tcPr>
          <w:p>
            <w:r/>
            <w:r>
              <w:rPr>
                <w:rFonts w:ascii="Arial" w:hAnsi="Arial"/>
                <w:b w:val="0"/>
                <w:sz w:val="16"/>
              </w:rPr>
              <w:t>Exklusive JHWH-Verehrung und spätere monotheistische Deutung; himmlische Wesen werden Engel, Wächter, Dämonen, Fürsten oder Erinnerungen.</w:t>
            </w:r>
          </w:p>
        </w:tc>
        <w:tc>
          <w:tcPr>
            <w:tcW w:type="dxa" w:w="2880"/>
            <w:vAlign w:val="top"/>
          </w:tcPr>
          <w:p>
            <w:r/>
            <w:r>
              <w:rPr>
                <w:rFonts w:ascii="Arial" w:hAnsi="Arial"/>
                <w:b w:val="0"/>
                <w:sz w:val="16"/>
              </w:rPr>
              <w:t>Erklärt spätere jüdische und christliche Engel-/Dämonenwelt.</w:t>
            </w:r>
          </w:p>
        </w:tc>
        <w:tc>
          <w:tcPr>
            <w:tcW w:type="dxa" w:w="1224"/>
            <w:vAlign w:val="top"/>
          </w:tcPr>
          <w:p>
            <w:r/>
            <w:r>
              <w:rPr>
                <w:rFonts w:ascii="Arial" w:hAnsi="Arial"/>
                <w:b w:val="0"/>
                <w:sz w:val="16"/>
              </w:rPr>
              <w:t>belegt als Tendenz</w:t>
            </w:r>
          </w:p>
        </w:tc>
      </w:tr>
    </w:tbl>
    <w:p>
      <w:r>
        <w:rPr>
          <w:rFonts w:ascii="Arial" w:hAnsi="Arial"/>
        </w:rPr>
        <w:t>Formulierung für die Hauptausarbeitung: Vor der eigentlichen JHWH-Monolatrie entstand Israel als sozioethnische Hochlandgruppe innerhalb Kanaans. Diese Gruppe war religiös plural geprägt. Ihr unmittelbarer Hintergrund war westsemitisch-kanaanäisch, nicht direkt sumerisch oder ägyptisch.</w:t>
      </w:r>
    </w:p>
    <w:p>
      <w:pPr>
        <w:pStyle w:val="Heading1"/>
      </w:pPr>
      <w:r>
        <w:t>3. Matrix: Gottheit / Funktion / übernommenes Motiv / spätere Umdeutung</w:t>
      </w:r>
    </w:p>
    <w:p>
      <w:r>
        <w:rPr>
          <w:rFonts w:ascii="Arial" w:hAnsi="Arial"/>
        </w:rPr>
        <w:t>Diese Matrix ist das zentrale Arbeitsinstrument für die nächste Forschungsrunde. Sie ersetzt pauschale Gleichsetzungen durch überprüfbare Kategorien: direkte Identität, Titelübernahme, Funktionsübernahme, Polemik, Dämonisierung, Angelologisierung oder literarische Erinnerung.</w:t>
      </w:r>
    </w:p>
    <w:tbl>
      <w:tblPr>
        <w:tblStyle w:val="TableGrid"/>
        <w:tblW w:type="auto" w:w="0"/>
        <w:jc w:val="left"/>
        <w:tblLook w:firstColumn="1" w:firstRow="1" w:lastColumn="0" w:lastRow="0" w:noHBand="0" w:noVBand="1" w:val="04A0"/>
      </w:tblPr>
      <w:tblGrid>
        <w:gridCol w:w="1872"/>
        <w:gridCol w:w="1872"/>
        <w:gridCol w:w="1872"/>
        <w:gridCol w:w="1872"/>
        <w:gridCol w:w="1872"/>
      </w:tblGrid>
      <w:tr>
        <w:tc>
          <w:tcPr>
            <w:tcW w:type="dxa" w:w="1699"/>
            <w:vAlign w:val="top"/>
            <w:shd w:fill="F1F3F4"/>
          </w:tcPr>
          <w:p>
            <w:r/>
            <w:r>
              <w:rPr>
                <w:rFonts w:ascii="Arial" w:hAnsi="Arial"/>
                <w:b/>
                <w:sz w:val="16"/>
              </w:rPr>
              <w:t>Gottheit / Gruppe</w:t>
            </w:r>
          </w:p>
        </w:tc>
        <w:tc>
          <w:tcPr>
            <w:tcW w:type="dxa" w:w="2232"/>
            <w:vAlign w:val="top"/>
            <w:shd w:fill="F1F3F4"/>
          </w:tcPr>
          <w:p>
            <w:r/>
            <w:r>
              <w:rPr>
                <w:rFonts w:ascii="Arial" w:hAnsi="Arial"/>
                <w:b/>
                <w:sz w:val="16"/>
              </w:rPr>
              <w:t>Funktion im Ausgangskontext</w:t>
            </w:r>
          </w:p>
        </w:tc>
        <w:tc>
          <w:tcPr>
            <w:tcW w:type="dxa" w:w="2520"/>
            <w:vAlign w:val="top"/>
            <w:shd w:fill="F1F3F4"/>
          </w:tcPr>
          <w:p>
            <w:r/>
            <w:r>
              <w:rPr>
                <w:rFonts w:ascii="Arial" w:hAnsi="Arial"/>
                <w:b/>
                <w:sz w:val="16"/>
              </w:rPr>
              <w:t>Von JHWH übernommenes oder bekämpftes Motiv</w:t>
            </w:r>
          </w:p>
        </w:tc>
        <w:tc>
          <w:tcPr>
            <w:tcW w:type="dxa" w:w="2232"/>
            <w:vAlign w:val="top"/>
            <w:shd w:fill="F1F3F4"/>
          </w:tcPr>
          <w:p>
            <w:r/>
            <w:r>
              <w:rPr>
                <w:rFonts w:ascii="Arial" w:hAnsi="Arial"/>
                <w:b/>
                <w:sz w:val="16"/>
              </w:rPr>
              <w:t>Spätere Umdeutung</w:t>
            </w:r>
          </w:p>
        </w:tc>
        <w:tc>
          <w:tcPr>
            <w:tcW w:type="dxa" w:w="792"/>
            <w:vAlign w:val="top"/>
            <w:shd w:fill="F1F3F4"/>
          </w:tcPr>
          <w:p>
            <w:r/>
            <w:r>
              <w:rPr>
                <w:rFonts w:ascii="Arial" w:hAnsi="Arial"/>
                <w:b/>
                <w:sz w:val="16"/>
              </w:rPr>
              <w:t>Status</w:t>
            </w:r>
          </w:p>
        </w:tc>
      </w:tr>
      <w:tr>
        <w:tc>
          <w:tcPr>
            <w:tcW w:type="dxa" w:w="1699"/>
            <w:vAlign w:val="top"/>
          </w:tcPr>
          <w:p>
            <w:r/>
            <w:r>
              <w:rPr>
                <w:rFonts w:ascii="Arial" w:hAnsi="Arial"/>
                <w:b w:val="0"/>
                <w:sz w:val="16"/>
              </w:rPr>
              <w:t>El / Elyon</w:t>
            </w:r>
          </w:p>
        </w:tc>
        <w:tc>
          <w:tcPr>
            <w:tcW w:type="dxa" w:w="2232"/>
            <w:vAlign w:val="top"/>
          </w:tcPr>
          <w:p>
            <w:r/>
            <w:r>
              <w:rPr>
                <w:rFonts w:ascii="Arial" w:hAnsi="Arial"/>
                <w:b w:val="0"/>
                <w:sz w:val="16"/>
              </w:rPr>
              <w:t>Hochgott, Vater, Schöpfer, Ratsoberhaupt, König/Richter.</w:t>
            </w:r>
          </w:p>
        </w:tc>
        <w:tc>
          <w:tcPr>
            <w:tcW w:type="dxa" w:w="2520"/>
            <w:vAlign w:val="top"/>
          </w:tcPr>
          <w:p>
            <w:r/>
            <w:r>
              <w:rPr>
                <w:rFonts w:ascii="Arial" w:hAnsi="Arial"/>
                <w:b w:val="0"/>
                <w:sz w:val="16"/>
              </w:rPr>
              <w:t>JHWH übernimmt Hochgott-Titel und Funktionen: Höchster, Vater, Schöpfer, König, Richter.</w:t>
            </w:r>
          </w:p>
        </w:tc>
        <w:tc>
          <w:tcPr>
            <w:tcW w:type="dxa" w:w="2232"/>
            <w:vAlign w:val="top"/>
          </w:tcPr>
          <w:p>
            <w:r/>
            <w:r>
              <w:rPr>
                <w:rFonts w:ascii="Arial" w:hAnsi="Arial"/>
                <w:b w:val="0"/>
                <w:sz w:val="16"/>
              </w:rPr>
              <w:t>El wird in JHWH integriert; als eigenständiger Gott verschwindet er aus normativer Theologie.</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Baal / Hadad</w:t>
            </w:r>
          </w:p>
        </w:tc>
        <w:tc>
          <w:tcPr>
            <w:tcW w:type="dxa" w:w="2232"/>
            <w:vAlign w:val="top"/>
          </w:tcPr>
          <w:p>
            <w:r/>
            <w:r>
              <w:rPr>
                <w:rFonts w:ascii="Arial" w:hAnsi="Arial"/>
                <w:b w:val="0"/>
                <w:sz w:val="16"/>
              </w:rPr>
              <w:t>Sturm, Regen, Fruchtbarkeit, Krieg, Chaoskampf, Königtum.</w:t>
            </w:r>
          </w:p>
        </w:tc>
        <w:tc>
          <w:tcPr>
            <w:tcW w:type="dxa" w:w="2520"/>
            <w:vAlign w:val="top"/>
          </w:tcPr>
          <w:p>
            <w:r/>
            <w:r>
              <w:rPr>
                <w:rFonts w:ascii="Arial" w:hAnsi="Arial"/>
                <w:b w:val="0"/>
                <w:sz w:val="16"/>
              </w:rPr>
              <w:t>Wolkenreiten, Donner, Regen, Sturmtheophanie, Chaoskampf, göttlicher Krieger.</w:t>
            </w:r>
          </w:p>
        </w:tc>
        <w:tc>
          <w:tcPr>
            <w:tcW w:type="dxa" w:w="2232"/>
            <w:vAlign w:val="top"/>
          </w:tcPr>
          <w:p>
            <w:r/>
            <w:r>
              <w:rPr>
                <w:rFonts w:ascii="Arial" w:hAnsi="Arial"/>
                <w:b w:val="0"/>
                <w:sz w:val="16"/>
              </w:rPr>
              <w:t>Baal wird Konkurrent und Gegner; Funktionen werden JHWH zugeschrieben.</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Aschera / Athirat</w:t>
            </w:r>
          </w:p>
        </w:tc>
        <w:tc>
          <w:tcPr>
            <w:tcW w:type="dxa" w:w="2232"/>
            <w:vAlign w:val="top"/>
          </w:tcPr>
          <w:p>
            <w:r/>
            <w:r>
              <w:rPr>
                <w:rFonts w:ascii="Arial" w:hAnsi="Arial"/>
                <w:b w:val="0"/>
                <w:sz w:val="16"/>
              </w:rPr>
              <w:t>Mutter-, Schutz-, Fruchtbarkeits- und Partnerfigur; im Ugarit-Kontext Partnerin Els.</w:t>
            </w:r>
          </w:p>
        </w:tc>
        <w:tc>
          <w:tcPr>
            <w:tcW w:type="dxa" w:w="2520"/>
            <w:vAlign w:val="top"/>
          </w:tcPr>
          <w:p>
            <w:r/>
            <w:r>
              <w:rPr>
                <w:rFonts w:ascii="Arial" w:hAnsi="Arial"/>
                <w:b w:val="0"/>
                <w:sz w:val="16"/>
              </w:rPr>
              <w:t>Mögliche Verbindung mit JHWH in Volksreligion; Schutz-/Segenformeln.</w:t>
            </w:r>
          </w:p>
        </w:tc>
        <w:tc>
          <w:tcPr>
            <w:tcW w:type="dxa" w:w="2232"/>
            <w:vAlign w:val="top"/>
          </w:tcPr>
          <w:p>
            <w:r/>
            <w:r>
              <w:rPr>
                <w:rFonts w:ascii="Arial" w:hAnsi="Arial"/>
                <w:b w:val="0"/>
                <w:sz w:val="16"/>
              </w:rPr>
              <w:t>Biblisch bekämpft oder neutralisiert; Deutung als Göttin, Symbol oder Hypostase strittig.</w:t>
            </w:r>
          </w:p>
        </w:tc>
        <w:tc>
          <w:tcPr>
            <w:tcW w:type="dxa" w:w="792"/>
            <w:vAlign w:val="top"/>
          </w:tcPr>
          <w:p>
            <w:r/>
            <w:r>
              <w:rPr>
                <w:rFonts w:ascii="Arial" w:hAnsi="Arial"/>
                <w:b w:val="0"/>
                <w:sz w:val="16"/>
              </w:rPr>
              <w:t>strittig</w:t>
            </w:r>
          </w:p>
        </w:tc>
      </w:tr>
      <w:tr>
        <w:tc>
          <w:tcPr>
            <w:tcW w:type="dxa" w:w="1699"/>
            <w:vAlign w:val="top"/>
          </w:tcPr>
          <w:p>
            <w:r/>
            <w:r>
              <w:rPr>
                <w:rFonts w:ascii="Arial" w:hAnsi="Arial"/>
                <w:b w:val="0"/>
                <w:sz w:val="16"/>
              </w:rPr>
              <w:t>Lokale Baale</w:t>
            </w:r>
          </w:p>
        </w:tc>
        <w:tc>
          <w:tcPr>
            <w:tcW w:type="dxa" w:w="2232"/>
            <w:vAlign w:val="top"/>
          </w:tcPr>
          <w:p>
            <w:r/>
            <w:r>
              <w:rPr>
                <w:rFonts w:ascii="Arial" w:hAnsi="Arial"/>
                <w:b w:val="0"/>
                <w:sz w:val="16"/>
              </w:rPr>
              <w:t>Orts- und Schutzgötter, regionale Fruchtbarkeits- und Wetterkulte.</w:t>
            </w:r>
          </w:p>
        </w:tc>
        <w:tc>
          <w:tcPr>
            <w:tcW w:type="dxa" w:w="2520"/>
            <w:vAlign w:val="top"/>
          </w:tcPr>
          <w:p>
            <w:r/>
            <w:r>
              <w:rPr>
                <w:rFonts w:ascii="Arial" w:hAnsi="Arial"/>
                <w:b w:val="0"/>
                <w:sz w:val="16"/>
              </w:rPr>
              <w:t>JHWH zentralisiert und verdrängt lokale kultische Loyalitäten.</w:t>
            </w:r>
          </w:p>
        </w:tc>
        <w:tc>
          <w:tcPr>
            <w:tcW w:type="dxa" w:w="2232"/>
            <w:vAlign w:val="top"/>
          </w:tcPr>
          <w:p>
            <w:r/>
            <w:r>
              <w:rPr>
                <w:rFonts w:ascii="Arial" w:hAnsi="Arial"/>
                <w:b w:val="0"/>
                <w:sz w:val="16"/>
              </w:rPr>
              <w:t>Als Fremdgötter polemisiert oder in JHWH-Kult integriert.</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Ahnen- und Familienkulte</w:t>
            </w:r>
          </w:p>
        </w:tc>
        <w:tc>
          <w:tcPr>
            <w:tcW w:type="dxa" w:w="2232"/>
            <w:vAlign w:val="top"/>
          </w:tcPr>
          <w:p>
            <w:r/>
            <w:r>
              <w:rPr>
                <w:rFonts w:ascii="Arial" w:hAnsi="Arial"/>
                <w:b w:val="0"/>
                <w:sz w:val="16"/>
              </w:rPr>
              <w:t>Hausreligion, Schutz der Familie, lokale Identität.</w:t>
            </w:r>
          </w:p>
        </w:tc>
        <w:tc>
          <w:tcPr>
            <w:tcW w:type="dxa" w:w="2520"/>
            <w:vAlign w:val="top"/>
          </w:tcPr>
          <w:p>
            <w:r/>
            <w:r>
              <w:rPr>
                <w:rFonts w:ascii="Arial" w:hAnsi="Arial"/>
                <w:b w:val="0"/>
                <w:sz w:val="16"/>
              </w:rPr>
              <w:t>JHWH wird zunehmend Stammes-/Nationalgott und später universaler Gott.</w:t>
            </w:r>
          </w:p>
        </w:tc>
        <w:tc>
          <w:tcPr>
            <w:tcW w:type="dxa" w:w="2232"/>
            <w:vAlign w:val="top"/>
          </w:tcPr>
          <w:p>
            <w:r/>
            <w:r>
              <w:rPr>
                <w:rFonts w:ascii="Arial" w:hAnsi="Arial"/>
                <w:b w:val="0"/>
                <w:sz w:val="16"/>
              </w:rPr>
              <w:t>Hauskulte werden normativ zurückgedrängt; Spuren bleiben indirekt.</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Reschef</w:t>
            </w:r>
          </w:p>
        </w:tc>
        <w:tc>
          <w:tcPr>
            <w:tcW w:type="dxa" w:w="2232"/>
            <w:vAlign w:val="top"/>
          </w:tcPr>
          <w:p>
            <w:r/>
            <w:r>
              <w:rPr>
                <w:rFonts w:ascii="Arial" w:hAnsi="Arial"/>
                <w:b w:val="0"/>
                <w:sz w:val="16"/>
              </w:rPr>
              <w:t>Seuche, Krieg, Heilung/Verderben.</w:t>
            </w:r>
          </w:p>
        </w:tc>
        <w:tc>
          <w:tcPr>
            <w:tcW w:type="dxa" w:w="2520"/>
            <w:vAlign w:val="top"/>
          </w:tcPr>
          <w:p>
            <w:r/>
            <w:r>
              <w:rPr>
                <w:rFonts w:ascii="Arial" w:hAnsi="Arial"/>
                <w:b w:val="0"/>
                <w:sz w:val="16"/>
              </w:rPr>
              <w:t>Krankheit, Krieg und Strafmacht können JHWH unterstellt werden.</w:t>
            </w:r>
          </w:p>
        </w:tc>
        <w:tc>
          <w:tcPr>
            <w:tcW w:type="dxa" w:w="2232"/>
            <w:vAlign w:val="top"/>
          </w:tcPr>
          <w:p>
            <w:r/>
            <w:r>
              <w:rPr>
                <w:rFonts w:ascii="Arial" w:hAnsi="Arial"/>
                <w:b w:val="0"/>
                <w:sz w:val="16"/>
              </w:rPr>
              <w:t>Eigenständigkeit verschwindet weitgehend; Motivfelder bleiben.</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Dagan</w:t>
            </w:r>
          </w:p>
        </w:tc>
        <w:tc>
          <w:tcPr>
            <w:tcW w:type="dxa" w:w="2232"/>
            <w:vAlign w:val="top"/>
          </w:tcPr>
          <w:p>
            <w:r/>
            <w:r>
              <w:rPr>
                <w:rFonts w:ascii="Arial" w:hAnsi="Arial"/>
                <w:b w:val="0"/>
                <w:sz w:val="16"/>
              </w:rPr>
              <w:t>Getreide, Versorgung, Fruchtbarkeit; syrisch-mesopotamischer Grenzbereich.</w:t>
            </w:r>
          </w:p>
        </w:tc>
        <w:tc>
          <w:tcPr>
            <w:tcW w:type="dxa" w:w="2520"/>
            <w:vAlign w:val="top"/>
          </w:tcPr>
          <w:p>
            <w:r/>
            <w:r>
              <w:rPr>
                <w:rFonts w:ascii="Arial" w:hAnsi="Arial"/>
                <w:b w:val="0"/>
                <w:sz w:val="16"/>
              </w:rPr>
              <w:t>Versorgung/Fruchtbarkeit werden JHWH zugeschrieben.</w:t>
            </w:r>
          </w:p>
        </w:tc>
        <w:tc>
          <w:tcPr>
            <w:tcW w:type="dxa" w:w="2232"/>
            <w:vAlign w:val="top"/>
          </w:tcPr>
          <w:p>
            <w:r/>
            <w:r>
              <w:rPr>
                <w:rFonts w:ascii="Arial" w:hAnsi="Arial"/>
                <w:b w:val="0"/>
                <w:sz w:val="16"/>
              </w:rPr>
              <w:t>Als eigenständige Rolle für Israel weniger zentral.</w:t>
            </w:r>
          </w:p>
        </w:tc>
        <w:tc>
          <w:tcPr>
            <w:tcW w:type="dxa" w:w="792"/>
            <w:vAlign w:val="top"/>
          </w:tcPr>
          <w:p>
            <w:r/>
            <w:r>
              <w:rPr>
                <w:rFonts w:ascii="Arial" w:hAnsi="Arial"/>
                <w:b w:val="0"/>
                <w:sz w:val="16"/>
              </w:rPr>
              <w:t>schwach/plausibel</w:t>
            </w:r>
          </w:p>
        </w:tc>
      </w:tr>
      <w:tr>
        <w:tc>
          <w:tcPr>
            <w:tcW w:type="dxa" w:w="1699"/>
            <w:vAlign w:val="top"/>
          </w:tcPr>
          <w:p>
            <w:r/>
            <w:r>
              <w:rPr>
                <w:rFonts w:ascii="Arial" w:hAnsi="Arial"/>
                <w:b w:val="0"/>
                <w:sz w:val="16"/>
              </w:rPr>
              <w:t>Yam / Meer</w:t>
            </w:r>
          </w:p>
        </w:tc>
        <w:tc>
          <w:tcPr>
            <w:tcW w:type="dxa" w:w="2232"/>
            <w:vAlign w:val="top"/>
          </w:tcPr>
          <w:p>
            <w:r/>
            <w:r>
              <w:rPr>
                <w:rFonts w:ascii="Arial" w:hAnsi="Arial"/>
                <w:b w:val="0"/>
                <w:sz w:val="16"/>
              </w:rPr>
              <w:t>Meer/Chaosmacht im westsemitischen Mythos.</w:t>
            </w:r>
          </w:p>
        </w:tc>
        <w:tc>
          <w:tcPr>
            <w:tcW w:type="dxa" w:w="2520"/>
            <w:vAlign w:val="top"/>
          </w:tcPr>
          <w:p>
            <w:r/>
            <w:r>
              <w:rPr>
                <w:rFonts w:ascii="Arial" w:hAnsi="Arial"/>
                <w:b w:val="0"/>
                <w:sz w:val="16"/>
              </w:rPr>
              <w:t>JHWH bezwingt Meer, Rahab, Leviathan, Chaoswasser.</w:t>
            </w:r>
          </w:p>
        </w:tc>
        <w:tc>
          <w:tcPr>
            <w:tcW w:type="dxa" w:w="2232"/>
            <w:vAlign w:val="top"/>
          </w:tcPr>
          <w:p>
            <w:r/>
            <w:r>
              <w:rPr>
                <w:rFonts w:ascii="Arial" w:hAnsi="Arial"/>
                <w:b w:val="0"/>
                <w:sz w:val="16"/>
              </w:rPr>
              <w:t>Mythischer Gegner statt verehrter Gott.</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Mot</w:t>
            </w:r>
          </w:p>
        </w:tc>
        <w:tc>
          <w:tcPr>
            <w:tcW w:type="dxa" w:w="2232"/>
            <w:vAlign w:val="top"/>
          </w:tcPr>
          <w:p>
            <w:r/>
            <w:r>
              <w:rPr>
                <w:rFonts w:ascii="Arial" w:hAnsi="Arial"/>
                <w:b w:val="0"/>
                <w:sz w:val="16"/>
              </w:rPr>
              <w:t>Tod/Unterwelt.</w:t>
            </w:r>
          </w:p>
        </w:tc>
        <w:tc>
          <w:tcPr>
            <w:tcW w:type="dxa" w:w="2520"/>
            <w:vAlign w:val="top"/>
          </w:tcPr>
          <w:p>
            <w:r/>
            <w:r>
              <w:rPr>
                <w:rFonts w:ascii="Arial" w:hAnsi="Arial"/>
                <w:b w:val="0"/>
                <w:sz w:val="16"/>
              </w:rPr>
              <w:t>JHWH kontrolliert Tod und Leben; Unterwelt wird entmythologisiert.</w:t>
            </w:r>
          </w:p>
        </w:tc>
        <w:tc>
          <w:tcPr>
            <w:tcW w:type="dxa" w:w="2232"/>
            <w:vAlign w:val="top"/>
          </w:tcPr>
          <w:p>
            <w:r/>
            <w:r>
              <w:rPr>
                <w:rFonts w:ascii="Arial" w:hAnsi="Arial"/>
                <w:b w:val="0"/>
                <w:sz w:val="16"/>
              </w:rPr>
              <w:t>Tod bleibt Macht/Ort, nicht legitimer Gott.</w:t>
            </w:r>
          </w:p>
        </w:tc>
        <w:tc>
          <w:tcPr>
            <w:tcW w:type="dxa" w:w="792"/>
            <w:vAlign w:val="top"/>
          </w:tcPr>
          <w:p>
            <w:r/>
            <w:r>
              <w:rPr>
                <w:rFonts w:ascii="Arial" w:hAnsi="Arial"/>
                <w:b w:val="0"/>
                <w:sz w:val="16"/>
              </w:rPr>
              <w:t>plausibel</w:t>
            </w:r>
          </w:p>
        </w:tc>
      </w:tr>
      <w:tr>
        <w:tc>
          <w:tcPr>
            <w:tcW w:type="dxa" w:w="1699"/>
            <w:vAlign w:val="top"/>
          </w:tcPr>
          <w:p>
            <w:r/>
            <w:r>
              <w:rPr>
                <w:rFonts w:ascii="Arial" w:hAnsi="Arial"/>
                <w:b w:val="0"/>
                <w:sz w:val="16"/>
              </w:rPr>
              <w:t>Anunnaki / Anunna</w:t>
            </w:r>
          </w:p>
        </w:tc>
        <w:tc>
          <w:tcPr>
            <w:tcW w:type="dxa" w:w="2232"/>
            <w:vAlign w:val="top"/>
          </w:tcPr>
          <w:p>
            <w:r/>
            <w:r>
              <w:rPr>
                <w:rFonts w:ascii="Arial" w:hAnsi="Arial"/>
                <w:b w:val="0"/>
                <w:sz w:val="16"/>
              </w:rPr>
              <w:t>Mesopotamische Gruppe von Göttern; höchste Götter, Stadtpantheon oder später Unterweltsgötter.</w:t>
            </w:r>
          </w:p>
        </w:tc>
        <w:tc>
          <w:tcPr>
            <w:tcW w:type="dxa" w:w="2520"/>
            <w:vAlign w:val="top"/>
          </w:tcPr>
          <w:p>
            <w:r/>
            <w:r>
              <w:rPr>
                <w:rFonts w:ascii="Arial" w:hAnsi="Arial"/>
                <w:b w:val="0"/>
                <w:sz w:val="16"/>
              </w:rPr>
              <w:t>Kein direkt übernommenes JHWH-Motiv als Identitätslinie; eher Vergleich zu Göttergruppen und literarischer Einfluss Mesopotamiens.</w:t>
            </w:r>
          </w:p>
        </w:tc>
        <w:tc>
          <w:tcPr>
            <w:tcW w:type="dxa" w:w="2232"/>
            <w:vAlign w:val="top"/>
          </w:tcPr>
          <w:p>
            <w:r/>
            <w:r>
              <w:rPr>
                <w:rFonts w:ascii="Arial" w:hAnsi="Arial"/>
                <w:b w:val="0"/>
                <w:sz w:val="16"/>
              </w:rPr>
              <w:t>Nicht mit Elohim gleichzusetzen; als Vergleichs- und Einflussfeld führen.</w:t>
            </w:r>
          </w:p>
        </w:tc>
        <w:tc>
          <w:tcPr>
            <w:tcW w:type="dxa" w:w="792"/>
            <w:vAlign w:val="top"/>
          </w:tcPr>
          <w:p>
            <w:r/>
            <w:r>
              <w:rPr>
                <w:rFonts w:ascii="Arial" w:hAnsi="Arial"/>
                <w:b w:val="0"/>
                <w:sz w:val="16"/>
              </w:rPr>
              <w:t>nicht identisch / Vergleich</w:t>
            </w:r>
          </w:p>
        </w:tc>
      </w:tr>
      <w:tr>
        <w:tc>
          <w:tcPr>
            <w:tcW w:type="dxa" w:w="1699"/>
            <w:vAlign w:val="top"/>
          </w:tcPr>
          <w:p>
            <w:r/>
            <w:r>
              <w:rPr>
                <w:rFonts w:ascii="Arial" w:hAnsi="Arial"/>
                <w:b w:val="0"/>
                <w:sz w:val="16"/>
              </w:rPr>
              <w:t>Elohim / Söhne Gottes</w:t>
            </w:r>
          </w:p>
        </w:tc>
        <w:tc>
          <w:tcPr>
            <w:tcW w:type="dxa" w:w="2232"/>
            <w:vAlign w:val="top"/>
          </w:tcPr>
          <w:p>
            <w:r/>
            <w:r>
              <w:rPr>
                <w:rFonts w:ascii="Arial" w:hAnsi="Arial"/>
                <w:b w:val="0"/>
                <w:sz w:val="16"/>
              </w:rPr>
              <w:t>Hebräische Kategorie für Gott/Götter/göttliche Wesen; Ratsmitglieder in einzelnen Texten.</w:t>
            </w:r>
          </w:p>
        </w:tc>
        <w:tc>
          <w:tcPr>
            <w:tcW w:type="dxa" w:w="2520"/>
            <w:vAlign w:val="top"/>
          </w:tcPr>
          <w:p>
            <w:r/>
            <w:r>
              <w:rPr>
                <w:rFonts w:ascii="Arial" w:hAnsi="Arial"/>
                <w:b w:val="0"/>
                <w:sz w:val="16"/>
              </w:rPr>
              <w:t>JHWH wird oberste Instanz über diese Wesen.</w:t>
            </w:r>
          </w:p>
        </w:tc>
        <w:tc>
          <w:tcPr>
            <w:tcW w:type="dxa" w:w="2232"/>
            <w:vAlign w:val="top"/>
          </w:tcPr>
          <w:p>
            <w:r/>
            <w:r>
              <w:rPr>
                <w:rFonts w:ascii="Arial" w:hAnsi="Arial"/>
                <w:b w:val="0"/>
                <w:sz w:val="16"/>
              </w:rPr>
              <w:t>Engel, Fürsten, Dämonen oder literarische Erinnerungen in späteren Texten.</w:t>
            </w:r>
          </w:p>
        </w:tc>
        <w:tc>
          <w:tcPr>
            <w:tcW w:type="dxa" w:w="792"/>
            <w:vAlign w:val="top"/>
          </w:tcPr>
          <w:p>
            <w:r/>
            <w:r>
              <w:rPr>
                <w:rFonts w:ascii="Arial" w:hAnsi="Arial"/>
                <w:b w:val="0"/>
                <w:sz w:val="16"/>
              </w:rPr>
              <w:t>belegt/plausibel</w:t>
            </w:r>
          </w:p>
        </w:tc>
      </w:tr>
    </w:tbl>
    <w:p>
      <w:pPr>
        <w:pStyle w:val="Heading1"/>
      </w:pPr>
      <w:r>
        <w:t>4. Anunnaki-Frage: Vergleich und Einfluss, keine direkte Identitätsthese</w:t>
      </w:r>
    </w:p>
    <w:p>
      <w:r>
        <w:rPr>
          <w:rFonts w:ascii="Arial" w:hAnsi="Arial"/>
        </w:rPr>
        <w:t>Die Anunnaki-Frage wird künftig nicht als direkte Gleichung Anunnaki = Elohim = JHWH geführt. Diese Gleichung ist sprachlich und historisch nicht nachweisbar. Sinnvoll ist stattdessen ein Vergleichs- und Einflussmodell.</w:t>
      </w:r>
    </w:p>
    <w:tbl>
      <w:tblPr>
        <w:tblStyle w:val="TableGrid"/>
        <w:tblW w:type="auto" w:w="0"/>
        <w:jc w:val="left"/>
        <w:tblLook w:firstColumn="1" w:firstRow="1" w:lastColumn="0" w:lastRow="0" w:noHBand="0" w:noVBand="1" w:val="04A0"/>
      </w:tblPr>
      <w:tblGrid>
        <w:gridCol w:w="2340"/>
        <w:gridCol w:w="2340"/>
        <w:gridCol w:w="2340"/>
        <w:gridCol w:w="2340"/>
      </w:tblGrid>
      <w:tr>
        <w:tc>
          <w:tcPr>
            <w:tcW w:type="dxa" w:w="1440"/>
            <w:vAlign w:val="top"/>
            <w:shd w:fill="F1F3F4"/>
          </w:tcPr>
          <w:p>
            <w:r/>
            <w:r>
              <w:rPr>
                <w:rFonts w:ascii="Arial" w:hAnsi="Arial"/>
                <w:b/>
                <w:sz w:val="16"/>
              </w:rPr>
              <w:t>Ebene</w:t>
            </w:r>
          </w:p>
        </w:tc>
        <w:tc>
          <w:tcPr>
            <w:tcW w:type="dxa" w:w="3240"/>
            <w:vAlign w:val="top"/>
            <w:shd w:fill="F1F3F4"/>
          </w:tcPr>
          <w:p>
            <w:r/>
            <w:r>
              <w:rPr>
                <w:rFonts w:ascii="Arial" w:hAnsi="Arial"/>
                <w:b/>
                <w:sz w:val="16"/>
              </w:rPr>
              <w:t>Zulässige Fragestellung</w:t>
            </w:r>
          </w:p>
        </w:tc>
        <w:tc>
          <w:tcPr>
            <w:tcW w:type="dxa" w:w="3168"/>
            <w:vAlign w:val="top"/>
            <w:shd w:fill="F1F3F4"/>
          </w:tcPr>
          <w:p>
            <w:r/>
            <w:r>
              <w:rPr>
                <w:rFonts w:ascii="Arial" w:hAnsi="Arial"/>
                <w:b/>
                <w:sz w:val="16"/>
              </w:rPr>
              <w:t>Nicht zulässige Kurzschlussfolgerung</w:t>
            </w:r>
          </w:p>
        </w:tc>
        <w:tc>
          <w:tcPr>
            <w:tcW w:type="dxa" w:w="1512"/>
            <w:vAlign w:val="top"/>
            <w:shd w:fill="F1F3F4"/>
          </w:tcPr>
          <w:p>
            <w:r/>
            <w:r>
              <w:rPr>
                <w:rFonts w:ascii="Arial" w:hAnsi="Arial"/>
                <w:b/>
                <w:sz w:val="16"/>
              </w:rPr>
              <w:t>Bewertung</w:t>
            </w:r>
          </w:p>
        </w:tc>
      </w:tr>
      <w:tr>
        <w:tc>
          <w:tcPr>
            <w:tcW w:type="dxa" w:w="1440"/>
            <w:vAlign w:val="top"/>
          </w:tcPr>
          <w:p>
            <w:r/>
            <w:r>
              <w:rPr>
                <w:rFonts w:ascii="Arial" w:hAnsi="Arial"/>
                <w:b w:val="0"/>
                <w:sz w:val="16"/>
              </w:rPr>
              <w:t>Begriff</w:t>
            </w:r>
          </w:p>
        </w:tc>
        <w:tc>
          <w:tcPr>
            <w:tcW w:type="dxa" w:w="3240"/>
            <w:vAlign w:val="top"/>
          </w:tcPr>
          <w:p>
            <w:r/>
            <w:r>
              <w:rPr>
                <w:rFonts w:ascii="Arial" w:hAnsi="Arial"/>
                <w:b w:val="0"/>
                <w:sz w:val="16"/>
              </w:rPr>
              <w:t>Was bedeutet Anunna/Anunnaki in sumerisch-akkadischen Texten?</w:t>
            </w:r>
          </w:p>
        </w:tc>
        <w:tc>
          <w:tcPr>
            <w:tcW w:type="dxa" w:w="3168"/>
            <w:vAlign w:val="top"/>
          </w:tcPr>
          <w:p>
            <w:r/>
            <w:r>
              <w:rPr>
                <w:rFonts w:ascii="Arial" w:hAnsi="Arial"/>
                <w:b w:val="0"/>
                <w:sz w:val="16"/>
              </w:rPr>
              <w:t>Anunnaki seien derselbe Begriff wie Elohim.</w:t>
            </w:r>
          </w:p>
        </w:tc>
        <w:tc>
          <w:tcPr>
            <w:tcW w:type="dxa" w:w="1512"/>
            <w:vAlign w:val="top"/>
          </w:tcPr>
          <w:p>
            <w:r/>
            <w:r>
              <w:rPr>
                <w:rFonts w:ascii="Arial" w:hAnsi="Arial"/>
                <w:b w:val="0"/>
                <w:sz w:val="16"/>
              </w:rPr>
              <w:t>nicht belegt</w:t>
            </w:r>
          </w:p>
        </w:tc>
      </w:tr>
      <w:tr>
        <w:tc>
          <w:tcPr>
            <w:tcW w:type="dxa" w:w="1440"/>
            <w:vAlign w:val="top"/>
          </w:tcPr>
          <w:p>
            <w:r/>
            <w:r>
              <w:rPr>
                <w:rFonts w:ascii="Arial" w:hAnsi="Arial"/>
                <w:b w:val="0"/>
                <w:sz w:val="16"/>
              </w:rPr>
              <w:t>Struktur</w:t>
            </w:r>
          </w:p>
        </w:tc>
        <w:tc>
          <w:tcPr>
            <w:tcW w:type="dxa" w:w="3240"/>
            <w:vAlign w:val="top"/>
          </w:tcPr>
          <w:p>
            <w:r/>
            <w:r>
              <w:rPr>
                <w:rFonts w:ascii="Arial" w:hAnsi="Arial"/>
                <w:b w:val="0"/>
                <w:sz w:val="16"/>
              </w:rPr>
              <w:t>Gibt es Parallelen zwischen mesopotamischen Göttergruppen und westsemitischem Götterrat?</w:t>
            </w:r>
          </w:p>
        </w:tc>
        <w:tc>
          <w:tcPr>
            <w:tcW w:type="dxa" w:w="3168"/>
            <w:vAlign w:val="top"/>
          </w:tcPr>
          <w:p>
            <w:r/>
            <w:r>
              <w:rPr>
                <w:rFonts w:ascii="Arial" w:hAnsi="Arial"/>
                <w:b w:val="0"/>
                <w:sz w:val="16"/>
              </w:rPr>
              <w:t>Parallele Struktur beweise Identität der Gottheiten.</w:t>
            </w:r>
          </w:p>
        </w:tc>
        <w:tc>
          <w:tcPr>
            <w:tcW w:type="dxa" w:w="1512"/>
            <w:vAlign w:val="top"/>
          </w:tcPr>
          <w:p>
            <w:r/>
            <w:r>
              <w:rPr>
                <w:rFonts w:ascii="Arial" w:hAnsi="Arial"/>
                <w:b w:val="0"/>
                <w:sz w:val="16"/>
              </w:rPr>
              <w:t>Vergleich möglich</w:t>
            </w:r>
          </w:p>
        </w:tc>
      </w:tr>
      <w:tr>
        <w:tc>
          <w:tcPr>
            <w:tcW w:type="dxa" w:w="1440"/>
            <w:vAlign w:val="top"/>
          </w:tcPr>
          <w:p>
            <w:r/>
            <w:r>
              <w:rPr>
                <w:rFonts w:ascii="Arial" w:hAnsi="Arial"/>
                <w:b w:val="0"/>
                <w:sz w:val="16"/>
              </w:rPr>
              <w:t>Literatur</w:t>
            </w:r>
          </w:p>
        </w:tc>
        <w:tc>
          <w:tcPr>
            <w:tcW w:type="dxa" w:w="3240"/>
            <w:vAlign w:val="top"/>
          </w:tcPr>
          <w:p>
            <w:r/>
            <w:r>
              <w:rPr>
                <w:rFonts w:ascii="Arial" w:hAnsi="Arial"/>
                <w:b w:val="0"/>
                <w:sz w:val="16"/>
              </w:rPr>
              <w:t>Welche mesopotamischen Motive beeinflussen Genesis, Sintflut, Urgeschichte, Weisheit und Kosmologie?</w:t>
            </w:r>
          </w:p>
        </w:tc>
        <w:tc>
          <w:tcPr>
            <w:tcW w:type="dxa" w:w="3168"/>
            <w:vAlign w:val="top"/>
          </w:tcPr>
          <w:p>
            <w:r/>
            <w:r>
              <w:rPr>
                <w:rFonts w:ascii="Arial" w:hAnsi="Arial"/>
                <w:b w:val="0"/>
                <w:sz w:val="16"/>
              </w:rPr>
              <w:t>Literarischer Einfluss beweise israelitische Abstammung von Sumerern.</w:t>
            </w:r>
          </w:p>
        </w:tc>
        <w:tc>
          <w:tcPr>
            <w:tcW w:type="dxa" w:w="1512"/>
            <w:vAlign w:val="top"/>
          </w:tcPr>
          <w:p>
            <w:r/>
            <w:r>
              <w:rPr>
                <w:rFonts w:ascii="Arial" w:hAnsi="Arial"/>
                <w:b w:val="0"/>
                <w:sz w:val="16"/>
              </w:rPr>
              <w:t>Einfluss plausibel</w:t>
            </w:r>
          </w:p>
        </w:tc>
      </w:tr>
      <w:tr>
        <w:tc>
          <w:tcPr>
            <w:tcW w:type="dxa" w:w="1440"/>
            <w:vAlign w:val="top"/>
          </w:tcPr>
          <w:p>
            <w:r/>
            <w:r>
              <w:rPr>
                <w:rFonts w:ascii="Arial" w:hAnsi="Arial"/>
                <w:b w:val="0"/>
                <w:sz w:val="16"/>
              </w:rPr>
              <w:t>JHWH-Entwicklung</w:t>
            </w:r>
          </w:p>
        </w:tc>
        <w:tc>
          <w:tcPr>
            <w:tcW w:type="dxa" w:w="3240"/>
            <w:vAlign w:val="top"/>
          </w:tcPr>
          <w:p>
            <w:r/>
            <w:r>
              <w:rPr>
                <w:rFonts w:ascii="Arial" w:hAnsi="Arial"/>
                <w:b w:val="0"/>
                <w:sz w:val="16"/>
              </w:rPr>
              <w:t>Übernimmt JHWH Funktionen, die in anderen Kulturen Hochgöttern zugeschrieben werden?</w:t>
            </w:r>
          </w:p>
        </w:tc>
        <w:tc>
          <w:tcPr>
            <w:tcW w:type="dxa" w:w="3168"/>
            <w:vAlign w:val="top"/>
          </w:tcPr>
          <w:p>
            <w:r/>
            <w:r>
              <w:rPr>
                <w:rFonts w:ascii="Arial" w:hAnsi="Arial"/>
                <w:b w:val="0"/>
                <w:sz w:val="16"/>
              </w:rPr>
              <w:t>JHWH sei direkt Enki, Enlil, Anu oder Marduk.</w:t>
            </w:r>
          </w:p>
        </w:tc>
        <w:tc>
          <w:tcPr>
            <w:tcW w:type="dxa" w:w="1512"/>
            <w:vAlign w:val="top"/>
          </w:tcPr>
          <w:p>
            <w:r/>
            <w:r>
              <w:rPr>
                <w:rFonts w:ascii="Arial" w:hAnsi="Arial"/>
                <w:b w:val="0"/>
                <w:sz w:val="16"/>
              </w:rPr>
              <w:t>nur fallweise prüfen</w:t>
            </w:r>
          </w:p>
        </w:tc>
      </w:tr>
    </w:tbl>
    <w:p>
      <w:r>
        <w:rPr>
          <w:rFonts w:ascii="Arial" w:hAnsi="Arial"/>
        </w:rPr>
        <w:t>Arbeitsformel: Mesopotamien beeinflusst biblische Literatur und altorientalische Denkformen. Der unmittelbare religionsgeschichtliche Hintergrund der frühen Israeliten bleibt aber der westsemitisch-kanaanäische Raum.</w:t>
      </w:r>
    </w:p>
    <w:p>
      <w:pPr>
        <w:pStyle w:val="Heading1"/>
      </w:pPr>
      <w:r>
        <w:t>5. Aschera als eigenes Streitdossier</w:t>
      </w:r>
    </w:p>
    <w:p>
      <w:r>
        <w:rPr>
          <w:rFonts w:ascii="Arial" w:hAnsi="Arial"/>
        </w:rPr>
        <w:t>Aschera darf in der Hauptausarbeitung nicht nur als Randfigur behandelt werden. Sie ist ein eigener Streitfall, weil sie direkt die Spannung zwischen gelebter Volksreligion und späterer normativer JHWH-Theologie sichtbar macht.</w:t>
      </w:r>
    </w:p>
    <w:tbl>
      <w:tblPr>
        <w:tblStyle w:val="TableGrid"/>
        <w:tblW w:type="auto" w:w="0"/>
        <w:jc w:val="left"/>
        <w:tblLook w:firstColumn="1" w:firstRow="1" w:lastColumn="0" w:lastRow="0" w:noHBand="0" w:noVBand="1" w:val="04A0"/>
      </w:tblPr>
      <w:tblGrid>
        <w:gridCol w:w="2340"/>
        <w:gridCol w:w="2340"/>
        <w:gridCol w:w="2340"/>
        <w:gridCol w:w="2340"/>
      </w:tblGrid>
      <w:tr>
        <w:tc>
          <w:tcPr>
            <w:tcW w:type="dxa" w:w="1800"/>
            <w:vAlign w:val="top"/>
            <w:shd w:fill="F1F3F4"/>
          </w:tcPr>
          <w:p>
            <w:r/>
            <w:r>
              <w:rPr>
                <w:rFonts w:ascii="Arial" w:hAnsi="Arial"/>
                <w:b/>
                <w:sz w:val="16"/>
              </w:rPr>
              <w:t>Deutung</w:t>
            </w:r>
          </w:p>
        </w:tc>
        <w:tc>
          <w:tcPr>
            <w:tcW w:type="dxa" w:w="2880"/>
            <w:vAlign w:val="top"/>
            <w:shd w:fill="F1F3F4"/>
          </w:tcPr>
          <w:p>
            <w:r/>
            <w:r>
              <w:rPr>
                <w:rFonts w:ascii="Arial" w:hAnsi="Arial"/>
                <w:b/>
                <w:sz w:val="16"/>
              </w:rPr>
              <w:t>Argumente dafür</w:t>
            </w:r>
          </w:p>
        </w:tc>
        <w:tc>
          <w:tcPr>
            <w:tcW w:type="dxa" w:w="2880"/>
            <w:vAlign w:val="top"/>
            <w:shd w:fill="F1F3F4"/>
          </w:tcPr>
          <w:p>
            <w:r/>
            <w:r>
              <w:rPr>
                <w:rFonts w:ascii="Arial" w:hAnsi="Arial"/>
                <w:b/>
                <w:sz w:val="16"/>
              </w:rPr>
              <w:t>Argumente dagegen / Grenze</w:t>
            </w:r>
          </w:p>
        </w:tc>
        <w:tc>
          <w:tcPr>
            <w:tcW w:type="dxa" w:w="1512"/>
            <w:vAlign w:val="top"/>
            <w:shd w:fill="F1F3F4"/>
          </w:tcPr>
          <w:p>
            <w:r/>
            <w:r>
              <w:rPr>
                <w:rFonts w:ascii="Arial" w:hAnsi="Arial"/>
                <w:b/>
                <w:sz w:val="16"/>
              </w:rPr>
              <w:t>Arbeitsstatus</w:t>
            </w:r>
          </w:p>
        </w:tc>
      </w:tr>
      <w:tr>
        <w:tc>
          <w:tcPr>
            <w:tcW w:type="dxa" w:w="1800"/>
            <w:vAlign w:val="top"/>
          </w:tcPr>
          <w:p>
            <w:r/>
            <w:r>
              <w:rPr>
                <w:rFonts w:ascii="Arial" w:hAnsi="Arial"/>
                <w:b w:val="0"/>
                <w:sz w:val="16"/>
              </w:rPr>
              <w:t>Aschera als Göttin</w:t>
            </w:r>
          </w:p>
        </w:tc>
        <w:tc>
          <w:tcPr>
            <w:tcW w:type="dxa" w:w="2880"/>
            <w:vAlign w:val="top"/>
          </w:tcPr>
          <w:p>
            <w:r/>
            <w:r>
              <w:rPr>
                <w:rFonts w:ascii="Arial" w:hAnsi="Arial"/>
                <w:b w:val="0"/>
                <w:sz w:val="16"/>
              </w:rPr>
              <w:t>Ugarit kennt Athirat als zentrale Göttin und Partnerin Els; JHWH-Aschera-Formeln passen zu gelebter Volksreligion.</w:t>
            </w:r>
          </w:p>
        </w:tc>
        <w:tc>
          <w:tcPr>
            <w:tcW w:type="dxa" w:w="2880"/>
            <w:vAlign w:val="top"/>
          </w:tcPr>
          <w:p>
            <w:r/>
            <w:r>
              <w:rPr>
                <w:rFonts w:ascii="Arial" w:hAnsi="Arial"/>
                <w:b w:val="0"/>
                <w:sz w:val="16"/>
              </w:rPr>
              <w:t>In israelitischen Inschriften ist die ikonographische und grammatische Deutung nicht eindeutig.</w:t>
            </w:r>
          </w:p>
        </w:tc>
        <w:tc>
          <w:tcPr>
            <w:tcW w:type="dxa" w:w="1512"/>
            <w:vAlign w:val="top"/>
          </w:tcPr>
          <w:p>
            <w:r/>
            <w:r>
              <w:rPr>
                <w:rFonts w:ascii="Arial" w:hAnsi="Arial"/>
                <w:b w:val="0"/>
                <w:sz w:val="16"/>
              </w:rPr>
              <w:t>plausibel, aber strittig</w:t>
            </w:r>
          </w:p>
        </w:tc>
      </w:tr>
      <w:tr>
        <w:tc>
          <w:tcPr>
            <w:tcW w:type="dxa" w:w="1800"/>
            <w:vAlign w:val="top"/>
          </w:tcPr>
          <w:p>
            <w:r/>
            <w:r>
              <w:rPr>
                <w:rFonts w:ascii="Arial" w:hAnsi="Arial"/>
                <w:b w:val="0"/>
                <w:sz w:val="16"/>
              </w:rPr>
              <w:t>Aschera als JHWHs Partnerin</w:t>
            </w:r>
          </w:p>
        </w:tc>
        <w:tc>
          <w:tcPr>
            <w:tcW w:type="dxa" w:w="2880"/>
            <w:vAlign w:val="top"/>
          </w:tcPr>
          <w:p>
            <w:r/>
            <w:r>
              <w:rPr>
                <w:rFonts w:ascii="Arial" w:hAnsi="Arial"/>
                <w:b w:val="0"/>
                <w:sz w:val="16"/>
              </w:rPr>
              <w:t>Formulierungen wie 'JHWH und seine Aschera' können eine Paar-/Schutzformel spiegeln.</w:t>
            </w:r>
          </w:p>
        </w:tc>
        <w:tc>
          <w:tcPr>
            <w:tcW w:type="dxa" w:w="2880"/>
            <w:vAlign w:val="top"/>
          </w:tcPr>
          <w:p>
            <w:r/>
            <w:r>
              <w:rPr>
                <w:rFonts w:ascii="Arial" w:hAnsi="Arial"/>
                <w:b w:val="0"/>
                <w:sz w:val="16"/>
              </w:rPr>
              <w:t>Kim und andere warnen: kein klarer Beweis für JHWHs Ehefrau; Possessiv und Kontext können Symbol deuten.</w:t>
            </w:r>
          </w:p>
        </w:tc>
        <w:tc>
          <w:tcPr>
            <w:tcW w:type="dxa" w:w="1512"/>
            <w:vAlign w:val="top"/>
          </w:tcPr>
          <w:p>
            <w:r/>
            <w:r>
              <w:rPr>
                <w:rFonts w:ascii="Arial" w:hAnsi="Arial"/>
                <w:b w:val="0"/>
                <w:sz w:val="16"/>
              </w:rPr>
              <w:t>strittig</w:t>
            </w:r>
          </w:p>
        </w:tc>
      </w:tr>
      <w:tr>
        <w:tc>
          <w:tcPr>
            <w:tcW w:type="dxa" w:w="1800"/>
            <w:vAlign w:val="top"/>
          </w:tcPr>
          <w:p>
            <w:r/>
            <w:r>
              <w:rPr>
                <w:rFonts w:ascii="Arial" w:hAnsi="Arial"/>
                <w:b w:val="0"/>
                <w:sz w:val="16"/>
              </w:rPr>
              <w:t>Aschera als Kultsymbol / heiliger Baum</w:t>
            </w:r>
          </w:p>
        </w:tc>
        <w:tc>
          <w:tcPr>
            <w:tcW w:type="dxa" w:w="2880"/>
            <w:vAlign w:val="top"/>
          </w:tcPr>
          <w:p>
            <w:r/>
            <w:r>
              <w:rPr>
                <w:rFonts w:ascii="Arial" w:hAnsi="Arial"/>
                <w:b w:val="0"/>
                <w:sz w:val="16"/>
              </w:rPr>
              <w:t>Hebräische Bibel kennt aschera als Kultobjekt; Na'aman/Lissovsky verknüpfen Kuntillet Ajrud mit sacred-tree-Traditionen.</w:t>
            </w:r>
          </w:p>
        </w:tc>
        <w:tc>
          <w:tcPr>
            <w:tcW w:type="dxa" w:w="2880"/>
            <w:vAlign w:val="top"/>
          </w:tcPr>
          <w:p>
            <w:r/>
            <w:r>
              <w:rPr>
                <w:rFonts w:ascii="Arial" w:hAnsi="Arial"/>
                <w:b w:val="0"/>
                <w:sz w:val="16"/>
              </w:rPr>
              <w:t>Symbol und Göttin schließen einander nicht zwingend aus; ein Symbol kann eine Göttin repräsentieren.</w:t>
            </w:r>
          </w:p>
        </w:tc>
        <w:tc>
          <w:tcPr>
            <w:tcW w:type="dxa" w:w="1512"/>
            <w:vAlign w:val="top"/>
          </w:tcPr>
          <w:p>
            <w:r/>
            <w:r>
              <w:rPr>
                <w:rFonts w:ascii="Arial" w:hAnsi="Arial"/>
                <w:b w:val="0"/>
                <w:sz w:val="16"/>
              </w:rPr>
              <w:t>plausibel</w:t>
            </w:r>
          </w:p>
        </w:tc>
      </w:tr>
      <w:tr>
        <w:tc>
          <w:tcPr>
            <w:tcW w:type="dxa" w:w="1800"/>
            <w:vAlign w:val="top"/>
          </w:tcPr>
          <w:p>
            <w:r/>
            <w:r>
              <w:rPr>
                <w:rFonts w:ascii="Arial" w:hAnsi="Arial"/>
                <w:b w:val="0"/>
                <w:sz w:val="16"/>
              </w:rPr>
              <w:t>Aschera als Hypostase</w:t>
            </w:r>
          </w:p>
        </w:tc>
        <w:tc>
          <w:tcPr>
            <w:tcW w:type="dxa" w:w="2880"/>
            <w:vAlign w:val="top"/>
          </w:tcPr>
          <w:p>
            <w:r/>
            <w:r>
              <w:rPr>
                <w:rFonts w:ascii="Arial" w:hAnsi="Arial"/>
                <w:b w:val="0"/>
                <w:sz w:val="16"/>
              </w:rPr>
              <w:t>Kann eine personifizierte göttliche Qualität oder Schutzmacht im JHWH-Kult meinen.</w:t>
            </w:r>
          </w:p>
        </w:tc>
        <w:tc>
          <w:tcPr>
            <w:tcW w:type="dxa" w:w="2880"/>
            <w:vAlign w:val="top"/>
          </w:tcPr>
          <w:p>
            <w:r/>
            <w:r>
              <w:rPr>
                <w:rFonts w:ascii="Arial" w:hAnsi="Arial"/>
                <w:b w:val="0"/>
                <w:sz w:val="16"/>
              </w:rPr>
              <w:t>Schwer direkt zu beweisen; Gefahr moderner Zwischenkategorie.</w:t>
            </w:r>
          </w:p>
        </w:tc>
        <w:tc>
          <w:tcPr>
            <w:tcW w:type="dxa" w:w="1512"/>
            <w:vAlign w:val="top"/>
          </w:tcPr>
          <w:p>
            <w:r/>
            <w:r>
              <w:rPr>
                <w:rFonts w:ascii="Arial" w:hAnsi="Arial"/>
                <w:b w:val="0"/>
                <w:sz w:val="16"/>
              </w:rPr>
              <w:t>möglich</w:t>
            </w:r>
          </w:p>
        </w:tc>
      </w:tr>
      <w:tr>
        <w:tc>
          <w:tcPr>
            <w:tcW w:type="dxa" w:w="1800"/>
            <w:vAlign w:val="top"/>
          </w:tcPr>
          <w:p>
            <w:r/>
            <w:r>
              <w:rPr>
                <w:rFonts w:ascii="Arial" w:hAnsi="Arial"/>
                <w:b w:val="0"/>
                <w:sz w:val="16"/>
              </w:rPr>
              <w:t>Volksreligion vs. Normtheologie</w:t>
            </w:r>
          </w:p>
        </w:tc>
        <w:tc>
          <w:tcPr>
            <w:tcW w:type="dxa" w:w="2880"/>
            <w:vAlign w:val="top"/>
          </w:tcPr>
          <w:p>
            <w:r/>
            <w:r>
              <w:rPr>
                <w:rFonts w:ascii="Arial" w:hAnsi="Arial"/>
                <w:b w:val="0"/>
                <w:sz w:val="16"/>
              </w:rPr>
              <w:t>Archäologie und Inschriften zeigen gelebte Praxis; Bibeltexte bekämpfen Aschera-Kult.</w:t>
            </w:r>
          </w:p>
        </w:tc>
        <w:tc>
          <w:tcPr>
            <w:tcW w:type="dxa" w:w="2880"/>
            <w:vAlign w:val="top"/>
          </w:tcPr>
          <w:p>
            <w:r/>
            <w:r>
              <w:rPr>
                <w:rFonts w:ascii="Arial" w:hAnsi="Arial"/>
                <w:b w:val="0"/>
                <w:sz w:val="16"/>
              </w:rPr>
              <w:t>Die Bibel ist nicht einheitlich; Polemik ist keine vollständige Beschreibung der Praxis.</w:t>
            </w:r>
          </w:p>
        </w:tc>
        <w:tc>
          <w:tcPr>
            <w:tcW w:type="dxa" w:w="1512"/>
            <w:vAlign w:val="top"/>
          </w:tcPr>
          <w:p>
            <w:r/>
            <w:r>
              <w:rPr>
                <w:rFonts w:ascii="Arial" w:hAnsi="Arial"/>
                <w:b w:val="0"/>
                <w:sz w:val="16"/>
              </w:rPr>
              <w:t>belegt als Spannung</w:t>
            </w:r>
          </w:p>
        </w:tc>
      </w:tr>
    </w:tbl>
    <w:p>
      <w:r>
        <w:rPr>
          <w:rFonts w:ascii="Arial" w:hAnsi="Arial"/>
        </w:rPr>
        <w:t>Arbeitsformel für die Hauptausarbeitung: Aschera ist epigraphisch und religionsgeschichtlich als Bestandteil oder Bezugspunkt gelebter JHWH-Religion relevant. Ob sie im jeweiligen Befund als Göttin, Kultsymbol, Hypostase oder Kombination verstanden werden muss, bleibt fallweise zu prüfen.</w:t>
      </w:r>
    </w:p>
    <w:p>
      <w:pPr>
        <w:pStyle w:val="Heading1"/>
      </w:pPr>
      <w:r>
        <w:t>6. Erzengel und Wächter erst in der Second-Temple-Phase behandeln</w:t>
      </w:r>
    </w:p>
    <w:p>
      <w:r>
        <w:rPr>
          <w:rFonts w:ascii="Arial" w:hAnsi="Arial"/>
        </w:rPr>
        <w:t>Erzengel und Wächter dürfen nicht in die frühisraelitische Phase zurückprojiziert werden. Sie sind wichtig, aber erst als spätere Umdeutungsformen älterer himmlischer Mehrwesenheit.</w:t>
      </w:r>
    </w:p>
    <w:tbl>
      <w:tblPr>
        <w:tblStyle w:val="TableGrid"/>
        <w:tblW w:type="auto" w:w="0"/>
        <w:jc w:val="left"/>
        <w:tblLook w:firstColumn="1" w:firstRow="1" w:lastColumn="0" w:lastRow="0" w:noHBand="0" w:noVBand="1" w:val="04A0"/>
      </w:tblPr>
      <w:tblGrid>
        <w:gridCol w:w="2340"/>
        <w:gridCol w:w="2340"/>
        <w:gridCol w:w="2340"/>
        <w:gridCol w:w="2340"/>
      </w:tblGrid>
      <w:tr>
        <w:tc>
          <w:tcPr>
            <w:tcW w:type="dxa" w:w="1656"/>
            <w:vAlign w:val="top"/>
            <w:shd w:fill="F1F3F4"/>
          </w:tcPr>
          <w:p>
            <w:r/>
            <w:r>
              <w:rPr>
                <w:rFonts w:ascii="Arial" w:hAnsi="Arial"/>
                <w:b/>
                <w:sz w:val="16"/>
              </w:rPr>
              <w:t>Figur / Gruppe</w:t>
            </w:r>
          </w:p>
        </w:tc>
        <w:tc>
          <w:tcPr>
            <w:tcW w:type="dxa" w:w="2160"/>
            <w:vAlign w:val="top"/>
            <w:shd w:fill="F1F3F4"/>
          </w:tcPr>
          <w:p>
            <w:r/>
            <w:r>
              <w:rPr>
                <w:rFonts w:ascii="Arial" w:hAnsi="Arial"/>
                <w:b/>
                <w:sz w:val="16"/>
              </w:rPr>
              <w:t>Richtige Phase</w:t>
            </w:r>
          </w:p>
        </w:tc>
        <w:tc>
          <w:tcPr>
            <w:tcW w:type="dxa" w:w="3240"/>
            <w:vAlign w:val="top"/>
            <w:shd w:fill="F1F3F4"/>
          </w:tcPr>
          <w:p>
            <w:r/>
            <w:r>
              <w:rPr>
                <w:rFonts w:ascii="Arial" w:hAnsi="Arial"/>
                <w:b/>
                <w:sz w:val="16"/>
              </w:rPr>
              <w:t>Was sie erklären können</w:t>
            </w:r>
          </w:p>
        </w:tc>
        <w:tc>
          <w:tcPr>
            <w:tcW w:type="dxa" w:w="2304"/>
            <w:vAlign w:val="top"/>
            <w:shd w:fill="F1F3F4"/>
          </w:tcPr>
          <w:p>
            <w:r/>
            <w:r>
              <w:rPr>
                <w:rFonts w:ascii="Arial" w:hAnsi="Arial"/>
                <w:b/>
                <w:sz w:val="16"/>
              </w:rPr>
              <w:t>Was sie nicht beweisen</w:t>
            </w:r>
          </w:p>
        </w:tc>
      </w:tr>
      <w:tr>
        <w:tc>
          <w:tcPr>
            <w:tcW w:type="dxa" w:w="1656"/>
            <w:vAlign w:val="top"/>
          </w:tcPr>
          <w:p>
            <w:r/>
            <w:r>
              <w:rPr>
                <w:rFonts w:ascii="Arial" w:hAnsi="Arial"/>
                <w:b w:val="0"/>
                <w:sz w:val="16"/>
              </w:rPr>
              <w:t>Michael</w:t>
            </w:r>
          </w:p>
        </w:tc>
        <w:tc>
          <w:tcPr>
            <w:tcW w:type="dxa" w:w="2160"/>
            <w:vAlign w:val="top"/>
          </w:tcPr>
          <w:p>
            <w:r/>
            <w:r>
              <w:rPr>
                <w:rFonts w:ascii="Arial" w:hAnsi="Arial"/>
                <w:b w:val="0"/>
                <w:sz w:val="16"/>
              </w:rPr>
              <w:t>Daniel / Second-Temple-Kontext</w:t>
            </w:r>
          </w:p>
        </w:tc>
        <w:tc>
          <w:tcPr>
            <w:tcW w:type="dxa" w:w="3240"/>
            <w:vAlign w:val="top"/>
          </w:tcPr>
          <w:p>
            <w:r/>
            <w:r>
              <w:rPr>
                <w:rFonts w:ascii="Arial" w:hAnsi="Arial"/>
                <w:b w:val="0"/>
                <w:sz w:val="16"/>
              </w:rPr>
              <w:t>Himmlischer Fürst Israels; Beispiel für angelologische Nationalvertretung.</w:t>
            </w:r>
          </w:p>
        </w:tc>
        <w:tc>
          <w:tcPr>
            <w:tcW w:type="dxa" w:w="2304"/>
            <w:vAlign w:val="top"/>
          </w:tcPr>
          <w:p>
            <w:r/>
            <w:r>
              <w:rPr>
                <w:rFonts w:ascii="Arial" w:hAnsi="Arial"/>
                <w:b w:val="0"/>
                <w:sz w:val="16"/>
              </w:rPr>
              <w:t>Nicht beweisbar: ehemaliger Schutzgott Israels.</w:t>
            </w:r>
          </w:p>
        </w:tc>
      </w:tr>
      <w:tr>
        <w:tc>
          <w:tcPr>
            <w:tcW w:type="dxa" w:w="1656"/>
            <w:vAlign w:val="top"/>
          </w:tcPr>
          <w:p>
            <w:r/>
            <w:r>
              <w:rPr>
                <w:rFonts w:ascii="Arial" w:hAnsi="Arial"/>
                <w:b w:val="0"/>
                <w:sz w:val="16"/>
              </w:rPr>
              <w:t>Gabriel</w:t>
            </w:r>
          </w:p>
        </w:tc>
        <w:tc>
          <w:tcPr>
            <w:tcW w:type="dxa" w:w="2160"/>
            <w:vAlign w:val="top"/>
          </w:tcPr>
          <w:p>
            <w:r/>
            <w:r>
              <w:rPr>
                <w:rFonts w:ascii="Arial" w:hAnsi="Arial"/>
                <w:b w:val="0"/>
                <w:sz w:val="16"/>
              </w:rPr>
              <w:t>Daniel / Second-Temple-Kontext</w:t>
            </w:r>
          </w:p>
        </w:tc>
        <w:tc>
          <w:tcPr>
            <w:tcW w:type="dxa" w:w="3240"/>
            <w:vAlign w:val="top"/>
          </w:tcPr>
          <w:p>
            <w:r/>
            <w:r>
              <w:rPr>
                <w:rFonts w:ascii="Arial" w:hAnsi="Arial"/>
                <w:b w:val="0"/>
                <w:sz w:val="16"/>
              </w:rPr>
              <w:t>Engelbote und Offenbarungsträger.</w:t>
            </w:r>
          </w:p>
        </w:tc>
        <w:tc>
          <w:tcPr>
            <w:tcW w:type="dxa" w:w="2304"/>
            <w:vAlign w:val="top"/>
          </w:tcPr>
          <w:p>
            <w:r/>
            <w:r>
              <w:rPr>
                <w:rFonts w:ascii="Arial" w:hAnsi="Arial"/>
                <w:b w:val="0"/>
                <w:sz w:val="16"/>
              </w:rPr>
              <w:t>Nicht beweisbar: frühisraelitischer Elohim.</w:t>
            </w:r>
          </w:p>
        </w:tc>
      </w:tr>
      <w:tr>
        <w:tc>
          <w:tcPr>
            <w:tcW w:type="dxa" w:w="1656"/>
            <w:vAlign w:val="top"/>
          </w:tcPr>
          <w:p>
            <w:r/>
            <w:r>
              <w:rPr>
                <w:rFonts w:ascii="Arial" w:hAnsi="Arial"/>
                <w:b w:val="0"/>
                <w:sz w:val="16"/>
              </w:rPr>
              <w:t>Raphael / Uriel</w:t>
            </w:r>
          </w:p>
        </w:tc>
        <w:tc>
          <w:tcPr>
            <w:tcW w:type="dxa" w:w="2160"/>
            <w:vAlign w:val="top"/>
          </w:tcPr>
          <w:p>
            <w:r/>
            <w:r>
              <w:rPr>
                <w:rFonts w:ascii="Arial" w:hAnsi="Arial"/>
                <w:b w:val="0"/>
                <w:sz w:val="16"/>
              </w:rPr>
              <w:t>1 Henoch / spätere jüdische Literatur</w:t>
            </w:r>
          </w:p>
        </w:tc>
        <w:tc>
          <w:tcPr>
            <w:tcW w:type="dxa" w:w="3240"/>
            <w:vAlign w:val="top"/>
          </w:tcPr>
          <w:p>
            <w:r/>
            <w:r>
              <w:rPr>
                <w:rFonts w:ascii="Arial" w:hAnsi="Arial"/>
                <w:b w:val="0"/>
                <w:sz w:val="16"/>
              </w:rPr>
              <w:t>Ausdifferenzierte Erzengelrollen.</w:t>
            </w:r>
          </w:p>
        </w:tc>
        <w:tc>
          <w:tcPr>
            <w:tcW w:type="dxa" w:w="2304"/>
            <w:vAlign w:val="top"/>
          </w:tcPr>
          <w:p>
            <w:r/>
            <w:r>
              <w:rPr>
                <w:rFonts w:ascii="Arial" w:hAnsi="Arial"/>
                <w:b w:val="0"/>
                <w:sz w:val="16"/>
              </w:rPr>
              <w:t>Nicht auf frühes Israel zurückdatieren.</w:t>
            </w:r>
          </w:p>
        </w:tc>
      </w:tr>
      <w:tr>
        <w:tc>
          <w:tcPr>
            <w:tcW w:type="dxa" w:w="1656"/>
            <w:vAlign w:val="top"/>
          </w:tcPr>
          <w:p>
            <w:r/>
            <w:r>
              <w:rPr>
                <w:rFonts w:ascii="Arial" w:hAnsi="Arial"/>
                <w:b w:val="0"/>
                <w:sz w:val="16"/>
              </w:rPr>
              <w:t>Wächter</w:t>
            </w:r>
          </w:p>
        </w:tc>
        <w:tc>
          <w:tcPr>
            <w:tcW w:type="dxa" w:w="2160"/>
            <w:vAlign w:val="top"/>
          </w:tcPr>
          <w:p>
            <w:r/>
            <w:r>
              <w:rPr>
                <w:rFonts w:ascii="Arial" w:hAnsi="Arial"/>
                <w:b w:val="0"/>
                <w:sz w:val="16"/>
              </w:rPr>
              <w:t>1 Henoch / Genesis-6-Rezeption</w:t>
            </w:r>
          </w:p>
        </w:tc>
        <w:tc>
          <w:tcPr>
            <w:tcW w:type="dxa" w:w="3240"/>
            <w:vAlign w:val="top"/>
          </w:tcPr>
          <w:p>
            <w:r/>
            <w:r>
              <w:rPr>
                <w:rFonts w:ascii="Arial" w:hAnsi="Arial"/>
                <w:b w:val="0"/>
                <w:sz w:val="16"/>
              </w:rPr>
              <w:t>Umdeutung von 'Söhnen Gottes' zu gefallenen Engeln und Ursprung böser Geister.</w:t>
            </w:r>
          </w:p>
        </w:tc>
        <w:tc>
          <w:tcPr>
            <w:tcW w:type="dxa" w:w="2304"/>
            <w:vAlign w:val="top"/>
          </w:tcPr>
          <w:p>
            <w:r/>
            <w:r>
              <w:rPr>
                <w:rFonts w:ascii="Arial" w:hAnsi="Arial"/>
                <w:b w:val="0"/>
                <w:sz w:val="16"/>
              </w:rPr>
              <w:t>Kein direkter Beweis für Namen der ursprünglichen Elohim.</w:t>
            </w:r>
          </w:p>
        </w:tc>
      </w:tr>
      <w:tr>
        <w:tc>
          <w:tcPr>
            <w:tcW w:type="dxa" w:w="1656"/>
            <w:vAlign w:val="top"/>
          </w:tcPr>
          <w:p>
            <w:r/>
            <w:r>
              <w:rPr>
                <w:rFonts w:ascii="Arial" w:hAnsi="Arial"/>
                <w:b w:val="0"/>
                <w:sz w:val="16"/>
              </w:rPr>
              <w:t>Dämonen / böse Geister</w:t>
            </w:r>
          </w:p>
        </w:tc>
        <w:tc>
          <w:tcPr>
            <w:tcW w:type="dxa" w:w="2160"/>
            <w:vAlign w:val="top"/>
          </w:tcPr>
          <w:p>
            <w:r/>
            <w:r>
              <w:rPr>
                <w:rFonts w:ascii="Arial" w:hAnsi="Arial"/>
                <w:b w:val="0"/>
                <w:sz w:val="16"/>
              </w:rPr>
              <w:t>Jubiläen, DSS, frühjüdische Dämonologie</w:t>
            </w:r>
          </w:p>
        </w:tc>
        <w:tc>
          <w:tcPr>
            <w:tcW w:type="dxa" w:w="3240"/>
            <w:vAlign w:val="top"/>
          </w:tcPr>
          <w:p>
            <w:r/>
            <w:r>
              <w:rPr>
                <w:rFonts w:ascii="Arial" w:hAnsi="Arial"/>
                <w:b w:val="0"/>
                <w:sz w:val="16"/>
              </w:rPr>
              <w:t>Spätere Klassifikation feindlicher übermenschlicher Wesen.</w:t>
            </w:r>
          </w:p>
        </w:tc>
        <w:tc>
          <w:tcPr>
            <w:tcW w:type="dxa" w:w="2304"/>
            <w:vAlign w:val="top"/>
          </w:tcPr>
          <w:p>
            <w:r/>
            <w:r>
              <w:rPr>
                <w:rFonts w:ascii="Arial" w:hAnsi="Arial"/>
                <w:b w:val="0"/>
                <w:sz w:val="16"/>
              </w:rPr>
              <w:t>Nicht automatisch frühkanaanäische Götter.</w:t>
            </w:r>
          </w:p>
        </w:tc>
      </w:tr>
    </w:tbl>
    <w:p>
      <w:r>
        <w:rPr>
          <w:rFonts w:ascii="Arial" w:hAnsi="Arial"/>
        </w:rPr>
        <w:t>Arbeitsformel: Frühisraelitisch behandeln wir El, JHWH, Aschera, Baal/Hadad, lokale Gottheiten, Elohim und den göttlichen Rat. Second-Temple behandeln wir Michael, Gabriel, Wächter, Mastema, Dämonen, Fürsten und angelologische Hierarchien.</w:t>
      </w:r>
    </w:p>
    <w:p>
      <w:pPr>
        <w:pStyle w:val="Heading1"/>
      </w:pPr>
      <w:r>
        <w:t>7. Konkrete Einfügung in die Hauptausarbeitung</w:t>
      </w:r>
    </w:p>
    <w:p>
      <w:pPr>
        <w:pStyle w:val="ListNumber"/>
      </w:pPr>
      <w:r>
        <w:rPr>
          <w:rFonts w:ascii="Arial" w:hAnsi="Arial"/>
        </w:rPr>
        <w:t>Kapitel 'Modellgrundlage' erweitern: Aus Vier-Stufen-Modell wird Fünf-Stufen-Modell mit Vorstufe.</w:t>
      </w:r>
    </w:p>
    <w:p>
      <w:pPr>
        <w:pStyle w:val="ListNumber"/>
      </w:pPr>
      <w:r>
        <w:rPr>
          <w:rFonts w:ascii="Arial" w:hAnsi="Arial"/>
        </w:rPr>
        <w:t>Nach der Modellübersicht die Matrix 'Gottheit / Funktion / übernommenes Motiv / spätere Umdeutung' einfügen.</w:t>
      </w:r>
    </w:p>
    <w:p>
      <w:pPr>
        <w:pStyle w:val="ListNumber"/>
      </w:pPr>
      <w:r>
        <w:rPr>
          <w:rFonts w:ascii="Arial" w:hAnsi="Arial"/>
        </w:rPr>
        <w:t>Anunnaki aus der Identitätsthese herausnehmen und als eigenes Vergleichskapitel führen.</w:t>
      </w:r>
    </w:p>
    <w:p>
      <w:pPr>
        <w:pStyle w:val="ListNumber"/>
      </w:pPr>
      <w:r>
        <w:rPr>
          <w:rFonts w:ascii="Arial" w:hAnsi="Arial"/>
        </w:rPr>
        <w:t>Aschera als Streitdossier vor der JHWH-El/Baal-Funktionsübernahme platzieren, weil sie die Volksreligion sichtbar macht.</w:t>
      </w:r>
    </w:p>
    <w:p>
      <w:pPr>
        <w:pStyle w:val="ListNumber"/>
      </w:pPr>
      <w:r>
        <w:rPr>
          <w:rFonts w:ascii="Arial" w:hAnsi="Arial"/>
        </w:rPr>
        <w:t>Erzengel/Wächter nur im Kapitel zur Second-Temple-Umdeutung behandeln, nicht in Vorstufe bis Stufe 3.</w:t>
      </w:r>
    </w:p>
    <w:p>
      <w:pPr>
        <w:pStyle w:val="ListNumber"/>
      </w:pPr>
      <w:r>
        <w:rPr>
          <w:rFonts w:ascii="Arial" w:hAnsi="Arial"/>
        </w:rPr>
        <w:t>Thesenbewertung anpassen: Identität JHWH=El bleibt plausibel/strittig; JHWH übernimmt Baal-Funktionen plausibel; Anunnaki=Elohim nicht belegt.</w:t>
      </w:r>
    </w:p>
    <w:p>
      <w:pPr>
        <w:pStyle w:val="Heading1"/>
      </w:pPr>
      <w:r>
        <w:t>8. Überarbeitete Hauptthese</w:t>
      </w:r>
    </w:p>
    <w:p>
      <w:r>
        <w:rPr>
          <w:rFonts w:ascii="Arial" w:hAnsi="Arial"/>
        </w:rPr>
        <w:t>Die belastbarere Hauptthese lautet:</w:t>
      </w:r>
    </w:p>
    <w:p>
      <w:r>
        <w:rPr>
          <w:rFonts w:ascii="Arial" w:hAnsi="Arial"/>
        </w:rPr>
        <w:t>Israel entsteht im kanaanäischen Religionsraum. Dort sind El, Aschera, Baal/Hadad, lokale Baale sowie Familien- und Ahnenkulte der unmittelbare Hintergrund. JHWH wird als Gott Israels in diese religiöse Landschaft integriert, wahrscheinlich unter Aufnahme südlicher Traditionen. In der weiteren Entwicklung wird JHWH mit El identifiziert, übernimmt El-Titel und Baal-Funktionen, verdrängt oder unterordnet konkurrierende Gottheiten und wird schließlich exklusiv und monotheistisch gedeutet. Mesopotamische Traditionen, einschließlich Anunnaki-Vorstellungen, bleiben als Vergleichs- und Einflussfeld wichtig, liefern aber keine direkte Identitätsthese. Die spätere jüdische Engel- und Dämonenwelt gehört erst in die Second-Temple-Phase und erklärt die Umklassifizierung älterer himmlischer Mehrwesenheit.</w:t>
      </w:r>
    </w:p>
    <w:p>
      <w:pPr>
        <w:pStyle w:val="Heading1"/>
      </w:pPr>
      <w:r>
        <w:t>9. Quellen</w:t>
      </w:r>
    </w:p>
    <w:p>
      <w:r>
        <w:rPr>
          <w:rFonts w:ascii="Arial" w:hAnsi="Arial"/>
        </w:rPr>
        <w:t>Faust 2015: Avraham Faust, The Emergence of Israel and Theories of Ethnogenesis. https://cris.haifa.ac.il/en/publications/the-emergence-of-israel-and-theories-of-ethnogenesis/</w:t>
      </w:r>
    </w:p>
    <w:p>
      <w:r>
        <w:rPr>
          <w:rFonts w:ascii="Arial" w:hAnsi="Arial"/>
        </w:rPr>
        <w:t>Hasel 1994: Michael G. Hasel, Israel in the Merneptah Stela. https://www.journals.uchicago.edu/doi/10.2307/1357179</w:t>
      </w:r>
    </w:p>
    <w:p>
      <w:r>
        <w:rPr>
          <w:rFonts w:ascii="Arial" w:hAnsi="Arial"/>
        </w:rPr>
        <w:t>Smith 2001: Mark S. Smith, The Origins of Biblical Monotheism. https://academic.oup.com/book/12858/chapter-abstract/163141250</w:t>
      </w:r>
    </w:p>
    <w:p>
      <w:r>
        <w:rPr>
          <w:rFonts w:ascii="Arial" w:hAnsi="Arial"/>
        </w:rPr>
        <w:t>Tov 2023/2026: Emanuel Tov, The Sons of Israel or God? Deuteronomy 32:8. https://www.thetorah.com/article/the-sons-of-israel-or-god-deuteronomy-32-8</w:t>
      </w:r>
    </w:p>
    <w:p>
      <w:r>
        <w:rPr>
          <w:rFonts w:ascii="Arial" w:hAnsi="Arial"/>
        </w:rPr>
        <w:t>Smoak/Schniedewind 2019: Religion at Kuntillet Ajrud. https://www.mdpi.com/2077-1444/10/3/211</w:t>
      </w:r>
    </w:p>
    <w:p>
      <w:r>
        <w:rPr>
          <w:rFonts w:ascii="Arial" w:hAnsi="Arial"/>
        </w:rPr>
        <w:t>Kim 2018: Kuntillet Ajrud 'Yahweh and His Asherah' and the Goddess Asherah. https://journal.kci.go.kr/ksots/archive/articleView?artiId=ART002386920</w:t>
      </w:r>
    </w:p>
    <w:p>
      <w:r>
        <w:rPr>
          <w:rFonts w:ascii="Arial" w:hAnsi="Arial"/>
        </w:rPr>
        <w:t>Na'aman/Lissovsky 2008: Kuntillet 'Ajrud, Sacred Trees and the Asherah. https://www.tandfonline.com/doi/abs/10.1179/tav.2008.2008.2.186</w:t>
      </w:r>
    </w:p>
    <w:p>
      <w:r>
        <w:rPr>
          <w:rFonts w:ascii="Arial" w:hAnsi="Arial"/>
        </w:rPr>
        <w:t>Brisch 2019: Anunna (Anunnaku, Anunnaki), ORACC. https://oracc.museum.upenn.edu/amgg/listofdeities/anunna/index.html</w:t>
      </w:r>
    </w:p>
    <w:p>
      <w:r>
        <w:rPr>
          <w:rFonts w:ascii="Arial" w:hAnsi="Arial"/>
        </w:rPr>
        <w:t>van Ruiten 2007: Angels and Demons in the Book of Jubilees. https://research.rug.nl/en/publications/angels-and-demons-in-the-book-of-jubilees/</w:t>
      </w:r>
    </w:p>
    <w:p>
      <w:r>
        <w:rPr>
          <w:rFonts w:ascii="Arial" w:hAnsi="Arial"/>
        </w:rPr>
        <w:t>Reynolds 2013: Understanding the Demonologies of the Dead Sea Scrolls. https://compass.onlinelibrary.wiley.com/doi/abs/10.1111/rec3.12038</w:t>
      </w:r>
    </w:p>
    <w:p>
      <w:pPr>
        <w:pStyle w:val="Heading1"/>
      </w:pPr>
      <w:r>
        <w:t>10. Technischer Hinweis</w:t>
      </w:r>
    </w:p>
    <w:p>
      <w:r>
        <w:rPr>
          <w:rFonts w:ascii="Arial" w:hAnsi="Arial"/>
        </w:rPr>
        <w:t>Die DOCX wurde für Google-Docs-Import mit nüchternem Arial-Layout erstellt. Eine visuelle LibreOffice-Renderprüfung ist in dieser Umgebung nicht möglich, weil soffice/LibreOffice nicht verfügbar ist. Die Datei wird strukturell geprüft, mit dem Google-Docs-Title-Sanitizer bereinigt und anschließend als natives Google Doc importiert.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00000"/>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00000"/>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