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F4E79"/>
          <w:sz w:val="40"/>
        </w:rPr>
        <w:t>Bibelanalyse: Grundlagendokument der Kapitel</w:t>
      </w:r>
    </w:p>
    <w:p>
      <w:pPr>
        <w:jc w:val="center"/>
      </w:pPr>
      <w:r>
        <w:rPr>
          <w:i/>
        </w:rPr>
        <w:t>Wissenschaftlich gestützte Ausarbeitung der bisherigen Arbeitskapitel zu El, JHWH, Elohim und altorientalischen Gottheiten</w:t>
      </w:r>
    </w:p>
    <w:p>
      <w:pPr>
        <w:jc w:val="center"/>
      </w:pPr>
      <w:r>
        <w:t>Stand: 21. Juli 2026 | Projekt: Bibelanalyse</w:t>
      </w:r>
    </w:p>
    <w:p>
      <w:pPr>
        <w:pStyle w:val="Heading1"/>
      </w:pPr>
      <w:r>
        <w:t>Zweck dieses Grundlagendokuments</w:t>
      </w:r>
    </w:p>
    <w:p>
      <w:r>
        <w:t>Dieses Dokument arbeitet die zentralen Kapitel des ersten Arbeitsdokuments inhaltlich aus und macht sie für die weitere Forschung nutzbar. Es ersetzt keine Einzelstudien, sondern bildet die gemeinsame Referenzbasis: Welche These liegt vor, was ist wissenschaftlich gut belegbar, wo sind Korrekturen nötig und welche Prüfschritte folgen daraus?</w:t>
      </w:r>
    </w:p>
    <w:tbl>
      <w:tblPr>
        <w:tblStyle w:val="TableGrid"/>
        <w:tblW w:type="auto" w:w="0"/>
        <w:jc w:val="center"/>
        <w:tblLook w:firstColumn="1" w:firstRow="1" w:lastColumn="0" w:lastRow="0" w:noHBand="0" w:noVBand="1" w:val="04A0"/>
      </w:tblPr>
      <w:tblGrid>
        <w:gridCol w:w="4896"/>
        <w:gridCol w:w="4896"/>
      </w:tblGrid>
      <w:tr>
        <w:tc>
          <w:tcPr>
            <w:tcW w:type="dxa" w:w="4896"/>
            <w:vAlign w:val="top"/>
            <w:shd w:fill="D9EAF7"/>
          </w:tcPr>
          <w:p>
            <w:r/>
            <w:r>
              <w:rPr>
                <w:b/>
              </w:rPr>
              <w:t>Kategorie</w:t>
            </w:r>
          </w:p>
        </w:tc>
        <w:tc>
          <w:tcPr>
            <w:tcW w:type="dxa" w:w="4896"/>
            <w:vAlign w:val="top"/>
            <w:shd w:fill="D9EAF7"/>
          </w:tcPr>
          <w:p>
            <w:r/>
            <w:r>
              <w:rPr>
                <w:b/>
              </w:rPr>
              <w:t>Bedeutung im weiteren Projekt</w:t>
            </w:r>
          </w:p>
        </w:tc>
      </w:tr>
      <w:tr>
        <w:tc>
          <w:tcPr>
            <w:tcW w:type="dxa" w:w="4896"/>
            <w:vAlign w:val="top"/>
          </w:tcPr>
          <w:p>
            <w:r/>
            <w:r>
              <w:rPr>
                <w:b w:val="0"/>
              </w:rPr>
              <w:t>Bestätigt</w:t>
            </w:r>
          </w:p>
        </w:tc>
        <w:tc>
          <w:tcPr>
            <w:tcW w:type="dxa" w:w="4896"/>
            <w:vAlign w:val="top"/>
          </w:tcPr>
          <w:p>
            <w:r/>
            <w:r>
              <w:rPr>
                <w:b w:val="0"/>
              </w:rPr>
              <w:t>Durch Primärtexte, Inschriften oder breite Fachliteratur gut gestützt.</w:t>
            </w:r>
          </w:p>
        </w:tc>
      </w:tr>
      <w:tr>
        <w:tc>
          <w:tcPr>
            <w:tcW w:type="dxa" w:w="4896"/>
            <w:vAlign w:val="top"/>
          </w:tcPr>
          <w:p>
            <w:r/>
            <w:r>
              <w:rPr>
                <w:b w:val="0"/>
              </w:rPr>
              <w:t>Plausibel</w:t>
            </w:r>
          </w:p>
        </w:tc>
        <w:tc>
          <w:tcPr>
            <w:tcW w:type="dxa" w:w="4896"/>
            <w:vAlign w:val="top"/>
          </w:tcPr>
          <w:p>
            <w:r/>
            <w:r>
              <w:rPr>
                <w:b w:val="0"/>
              </w:rPr>
              <w:t>Gute Indizien, aber Datierung, Deutung oder Reichweite bleiben offen.</w:t>
            </w:r>
          </w:p>
        </w:tc>
      </w:tr>
      <w:tr>
        <w:tc>
          <w:tcPr>
            <w:tcW w:type="dxa" w:w="4896"/>
            <w:vAlign w:val="top"/>
          </w:tcPr>
          <w:p>
            <w:r/>
            <w:r>
              <w:rPr>
                <w:b w:val="0"/>
              </w:rPr>
              <w:t>Offen</w:t>
            </w:r>
          </w:p>
        </w:tc>
        <w:tc>
          <w:tcPr>
            <w:tcW w:type="dxa" w:w="4896"/>
            <w:vAlign w:val="top"/>
          </w:tcPr>
          <w:p>
            <w:r/>
            <w:r>
              <w:rPr>
                <w:b w:val="0"/>
              </w:rPr>
              <w:t>Forschungsdiskussion ohne eindeutige Mehrheitslösung.</w:t>
            </w:r>
          </w:p>
        </w:tc>
      </w:tr>
      <w:tr>
        <w:tc>
          <w:tcPr>
            <w:tcW w:type="dxa" w:w="4896"/>
            <w:vAlign w:val="top"/>
          </w:tcPr>
          <w:p>
            <w:r/>
            <w:r>
              <w:rPr>
                <w:b w:val="0"/>
              </w:rPr>
              <w:t>Spekulativ</w:t>
            </w:r>
          </w:p>
        </w:tc>
        <w:tc>
          <w:tcPr>
            <w:tcW w:type="dxa" w:w="4896"/>
            <w:vAlign w:val="top"/>
          </w:tcPr>
          <w:p>
            <w:r/>
            <w:r>
              <w:rPr>
                <w:b w:val="0"/>
              </w:rPr>
              <w:t>Als Idee möglich, aber ohne direkte Belege.</w:t>
            </w:r>
          </w:p>
        </w:tc>
      </w:tr>
      <w:tr>
        <w:tc>
          <w:tcPr>
            <w:tcW w:type="dxa" w:w="4896"/>
            <w:vAlign w:val="top"/>
          </w:tcPr>
          <w:p>
            <w:r/>
            <w:r>
              <w:rPr>
                <w:b w:val="0"/>
              </w:rPr>
              <w:t>Zu korrigieren</w:t>
            </w:r>
          </w:p>
        </w:tc>
        <w:tc>
          <w:tcPr>
            <w:tcW w:type="dxa" w:w="4896"/>
            <w:vAlign w:val="top"/>
          </w:tcPr>
          <w:p>
            <w:r/>
            <w:r>
              <w:rPr>
                <w:b w:val="0"/>
              </w:rPr>
              <w:t>Widerspricht Datierung, Textlage oder etablierten Quellen.</w:t>
            </w:r>
          </w:p>
        </w:tc>
      </w:tr>
    </w:tbl>
    <w:p/>
    <w:p>
      <w:pPr>
        <w:pStyle w:val="Heading1"/>
      </w:pPr>
      <w:r>
        <w:t>1. El in Ugarit und im westsemitischen Raum</w:t>
      </w:r>
    </w:p>
    <w:p>
      <w:r>
        <w:rPr>
          <w:b/>
        </w:rPr>
        <w:t xml:space="preserve">Arbeitsdokument-These: </w:t>
      </w:r>
      <w:r>
        <w:t>El erscheint als alter Hochgott, Vatergestalt, Schöpfer und Vorsitzender einer Götterversammlung; im Arbeitsdokument wird Ugarit als zentraler Belegort genannt.</w:t>
      </w:r>
    </w:p>
    <w:p>
      <w:r>
        <w:t>Der Kern ist stark: Die Ugarit-Texte zeigen El als hochrangige Gottheit mit Familien- und Ratsstruktur. Wichtig ist aber die Präzisierung: Ugarit ist nicht zwingend der erste Nachweis Els überhaupt, sondern der wichtigste umfangreiche Textkorpus aus der Spätbronzezeit. El/Il ist als semitischer Gottesname und Gattungsbegriff breiter und älter verankert. Für unser Projekt ist El deshalb der wichtigste Vergleichspunkt für JHWHs spätere Erhöhung: Vater, König, Schöpfer, Rat der Götter, Elyon/Höchster und Stier-Symbolik.</w:t>
      </w:r>
    </w:p>
    <w:p>
      <w:r>
        <w:rPr>
          <w:b/>
        </w:rPr>
        <w:t xml:space="preserve">Arbeitsurteil: </w:t>
      </w:r>
      <w:r>
        <w:t>Bestätigt mit Präzisierung: Ugarit ist Hauptzeugnis, nicht absoluter Ursprung.</w:t>
      </w:r>
    </w:p>
    <w:p>
      <w:r>
        <w:rPr>
          <w:b/>
        </w:rPr>
        <w:t xml:space="preserve">Nächste Forschungsfrage: </w:t>
      </w:r>
      <w:r>
        <w:t>Welche El-Titel werden im Alten Testament auf JHWH übertragen, und in welchen Textschichten geschieht das?</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El-Merkmal</w:t>
            </w:r>
          </w:p>
        </w:tc>
        <w:tc>
          <w:tcPr>
            <w:tcW w:type="dxa" w:w="3264"/>
            <w:vAlign w:val="top"/>
            <w:shd w:fill="D9EAF7"/>
          </w:tcPr>
          <w:p>
            <w:r/>
            <w:r>
              <w:rPr>
                <w:b/>
              </w:rPr>
              <w:t>Ugarit/westsemitisch</w:t>
            </w:r>
          </w:p>
        </w:tc>
        <w:tc>
          <w:tcPr>
            <w:tcW w:type="dxa" w:w="3264"/>
            <w:vAlign w:val="top"/>
            <w:shd w:fill="D9EAF7"/>
          </w:tcPr>
          <w:p>
            <w:r/>
            <w:r>
              <w:rPr>
                <w:b/>
              </w:rPr>
              <w:t>Biblische Anschlussstelle</w:t>
            </w:r>
          </w:p>
        </w:tc>
      </w:tr>
      <w:tr>
        <w:tc>
          <w:tcPr>
            <w:tcW w:type="dxa" w:w="3264"/>
            <w:vAlign w:val="top"/>
          </w:tcPr>
          <w:p>
            <w:r/>
            <w:r>
              <w:rPr>
                <w:b w:val="0"/>
              </w:rPr>
              <w:t>Hochgott/Vater</w:t>
            </w:r>
          </w:p>
        </w:tc>
        <w:tc>
          <w:tcPr>
            <w:tcW w:type="dxa" w:w="3264"/>
            <w:vAlign w:val="top"/>
          </w:tcPr>
          <w:p>
            <w:r/>
            <w:r>
              <w:rPr>
                <w:b w:val="0"/>
              </w:rPr>
              <w:t>El als Vater der Götter und Menschen</w:t>
            </w:r>
          </w:p>
        </w:tc>
        <w:tc>
          <w:tcPr>
            <w:tcW w:type="dxa" w:w="3264"/>
            <w:vAlign w:val="top"/>
          </w:tcPr>
          <w:p>
            <w:r/>
            <w:r>
              <w:rPr>
                <w:b w:val="0"/>
              </w:rPr>
              <w:t>El/Elohim/Elyon als Titel des Gottes Israels</w:t>
            </w:r>
          </w:p>
        </w:tc>
      </w:tr>
      <w:tr>
        <w:tc>
          <w:tcPr>
            <w:tcW w:type="dxa" w:w="3264"/>
            <w:vAlign w:val="top"/>
          </w:tcPr>
          <w:p>
            <w:r/>
            <w:r>
              <w:rPr>
                <w:b w:val="0"/>
              </w:rPr>
              <w:t>Göttlicher Rat</w:t>
            </w:r>
          </w:p>
        </w:tc>
        <w:tc>
          <w:tcPr>
            <w:tcW w:type="dxa" w:w="3264"/>
            <w:vAlign w:val="top"/>
          </w:tcPr>
          <w:p>
            <w:r/>
            <w:r>
              <w:rPr>
                <w:b w:val="0"/>
              </w:rPr>
              <w:t>Versammlung der Götter/Söhne Els</w:t>
            </w:r>
          </w:p>
        </w:tc>
        <w:tc>
          <w:tcPr>
            <w:tcW w:type="dxa" w:w="3264"/>
            <w:vAlign w:val="top"/>
          </w:tcPr>
          <w:p>
            <w:r/>
            <w:r>
              <w:rPr>
                <w:b w:val="0"/>
              </w:rPr>
              <w:t>Psalm 82; Dtn 32; himmlische Heerscharen</w:t>
            </w:r>
          </w:p>
        </w:tc>
      </w:tr>
      <w:tr>
        <w:tc>
          <w:tcPr>
            <w:tcW w:type="dxa" w:w="3264"/>
            <w:vAlign w:val="top"/>
          </w:tcPr>
          <w:p>
            <w:r/>
            <w:r>
              <w:rPr>
                <w:b w:val="0"/>
              </w:rPr>
              <w:t>Schöpfer</w:t>
            </w:r>
          </w:p>
        </w:tc>
        <w:tc>
          <w:tcPr>
            <w:tcW w:type="dxa" w:w="3264"/>
            <w:vAlign w:val="top"/>
          </w:tcPr>
          <w:p>
            <w:r/>
            <w:r>
              <w:rPr>
                <w:b w:val="0"/>
              </w:rPr>
              <w:t>El als Schöpfergestalt</w:t>
            </w:r>
          </w:p>
        </w:tc>
        <w:tc>
          <w:tcPr>
            <w:tcW w:type="dxa" w:w="3264"/>
            <w:vAlign w:val="top"/>
          </w:tcPr>
          <w:p>
            <w:r/>
            <w:r>
              <w:rPr>
                <w:b w:val="0"/>
              </w:rPr>
              <w:t>Gen 14 El Elyon; spätere JHWH-Schöpferaussagen</w:t>
            </w:r>
          </w:p>
        </w:tc>
      </w:tr>
      <w:tr>
        <w:tc>
          <w:tcPr>
            <w:tcW w:type="dxa" w:w="3264"/>
            <w:vAlign w:val="top"/>
          </w:tcPr>
          <w:p>
            <w:r/>
            <w:r>
              <w:rPr>
                <w:b w:val="0"/>
              </w:rPr>
              <w:t>Stier-Symbolik</w:t>
            </w:r>
          </w:p>
        </w:tc>
        <w:tc>
          <w:tcPr>
            <w:tcW w:type="dxa" w:w="3264"/>
            <w:vAlign w:val="top"/>
          </w:tcPr>
          <w:p>
            <w:r/>
            <w:r>
              <w:rPr>
                <w:b w:val="0"/>
              </w:rPr>
              <w:t>Stier-El als Kraftsymbol</w:t>
            </w:r>
          </w:p>
        </w:tc>
        <w:tc>
          <w:tcPr>
            <w:tcW w:type="dxa" w:w="3264"/>
            <w:vAlign w:val="top"/>
          </w:tcPr>
          <w:p>
            <w:r/>
            <w:r>
              <w:rPr>
                <w:b w:val="0"/>
              </w:rPr>
              <w:t>Goldenes Kalb und Stier-/Podestsymbolik als offenes Vergleichsfeld</w:t>
            </w:r>
          </w:p>
        </w:tc>
      </w:tr>
    </w:tbl>
    <w:p/>
    <w:p>
      <w:pPr>
        <w:pStyle w:val="Heading1"/>
      </w:pPr>
      <w:r>
        <w:t>2. Aschera/Athirat und die Frage nach JHWHs Partnerin</w:t>
      </w:r>
    </w:p>
    <w:p>
      <w:r>
        <w:rPr>
          <w:b/>
        </w:rPr>
        <w:t xml:space="preserve">Arbeitsdokument-These: </w:t>
      </w:r>
      <w:r>
        <w:t>Aschera/Athirat erscheint als Gefährtin Els; in Israel/Juda könnte sie zeitweise mit JHWH verbunden gewesen sein.</w:t>
      </w:r>
    </w:p>
    <w:p>
      <w:r>
        <w:t>Die Verbindung Aschera-JHWH ist eines der wichtigsten archäologischen Problemfelder. Kuntillet Ajrud und Khirbet el-Qom liefern Formeln wie 'JHWH und seine Aschera'. Umstritten bleibt, ob damit eine Göttin, ein Kultsymbol, ein heiliger Pfahl oder eine kultische Installation gemeint ist. Für die Forschung ist die sichere Minimalformulierung: In Teilen Israels/Judas gab es eine Verbindung von JHWH-Verehrung und Aschera-Symbolik oder Aschera-Kult.</w:t>
      </w:r>
    </w:p>
    <w:p>
      <w:r>
        <w:rPr>
          <w:b/>
        </w:rPr>
        <w:t xml:space="preserve">Arbeitsurteil: </w:t>
      </w:r>
      <w:r>
        <w:t>Plausibel, aber nicht einheitlich zu verabsolutieren.</w:t>
      </w:r>
    </w:p>
    <w:p>
      <w:r>
        <w:rPr>
          <w:b/>
        </w:rPr>
        <w:t xml:space="preserve">Nächste Forschungsfrage: </w:t>
      </w:r>
      <w:r>
        <w:t>Welche Funde sprechen für eine Göttin Aschera, welche eher für ein Symbol oder Kultobjekt?</w:t>
      </w:r>
    </w:p>
    <w:p>
      <w:pPr>
        <w:pStyle w:val="Heading1"/>
      </w:pPr>
      <w:r>
        <w:t>3. Baal, Hadad, Adad und der Wettergott-Komplex</w:t>
      </w:r>
    </w:p>
    <w:p>
      <w:r>
        <w:rPr>
          <w:b/>
        </w:rPr>
        <w:t xml:space="preserve">Arbeitsdokument-These: </w:t>
      </w:r>
      <w:r>
        <w:t>Baal/Hadad/Adad steht für Sturm, Regen, Fruchtbarkeit, Kampf und Königtum; JHWH übernimmt in älteren Texten viele dieser Motive.</w:t>
      </w:r>
    </w:p>
    <w:p>
      <w:r>
        <w:t>Hier ist die Namenswechsel-These besonders stark. Baal ist teils Titel ('Herr'), teils konkrete Gottheit; Hadad/Adad/Ischkur bilden einen gut belegten Wettergott-Komplex über syrisch-kanaanäische und mesopotamische Räume hinweg. Für JHWH ist keine einfache Identität mit Baal zu behaupten, weil biblische Texte Baal häufig bekämpfen. Sehr gut belegbar ist aber Motivübernahme: Wolkenritt, Donner, Sturm, Regen, Kampf gegen Meer/Chaos und göttlicher Krieger.</w:t>
      </w:r>
    </w:p>
    <w:p>
      <w:r>
        <w:rPr>
          <w:b/>
        </w:rPr>
        <w:t xml:space="preserve">Arbeitsurteil: </w:t>
      </w:r>
      <w:r>
        <w:t>Stark für Baal-Hadad-Adad als Komplex; plausibel für JHWHs Motivübernahme.</w:t>
      </w:r>
    </w:p>
    <w:p>
      <w:r>
        <w:rPr>
          <w:b/>
        </w:rPr>
        <w:t xml:space="preserve">Nächste Forschungsfrage: </w:t>
      </w:r>
      <w:r>
        <w:t>Welche JHWH-Texte zeigen Wetter- und Chaoskampf-Motive, die im Baal-Zyklus vorgeprägt sind?</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Gott/Name</w:t>
            </w:r>
          </w:p>
        </w:tc>
        <w:tc>
          <w:tcPr>
            <w:tcW w:type="dxa" w:w="3264"/>
            <w:vAlign w:val="top"/>
            <w:shd w:fill="D9EAF7"/>
          </w:tcPr>
          <w:p>
            <w:r/>
            <w:r>
              <w:rPr>
                <w:b/>
              </w:rPr>
              <w:t>Kernfunktion</w:t>
            </w:r>
          </w:p>
        </w:tc>
        <w:tc>
          <w:tcPr>
            <w:tcW w:type="dxa" w:w="3264"/>
            <w:vAlign w:val="top"/>
            <w:shd w:fill="D9EAF7"/>
          </w:tcPr>
          <w:p>
            <w:r/>
            <w:r>
              <w:rPr>
                <w:b/>
              </w:rPr>
              <w:t>Bezug zu JHWH</w:t>
            </w:r>
          </w:p>
        </w:tc>
      </w:tr>
      <w:tr>
        <w:tc>
          <w:tcPr>
            <w:tcW w:type="dxa" w:w="3264"/>
            <w:vAlign w:val="top"/>
          </w:tcPr>
          <w:p>
            <w:r/>
            <w:r>
              <w:rPr>
                <w:b w:val="0"/>
              </w:rPr>
              <w:t>Baal</w:t>
            </w:r>
          </w:p>
        </w:tc>
        <w:tc>
          <w:tcPr>
            <w:tcW w:type="dxa" w:w="3264"/>
            <w:vAlign w:val="top"/>
          </w:tcPr>
          <w:p>
            <w:r/>
            <w:r>
              <w:rPr>
                <w:b w:val="0"/>
              </w:rPr>
              <w:t>Herr, Wetter-, Regen- und Fruchtbarkeitsgott</w:t>
            </w:r>
          </w:p>
        </w:tc>
        <w:tc>
          <w:tcPr>
            <w:tcW w:type="dxa" w:w="3264"/>
            <w:vAlign w:val="top"/>
          </w:tcPr>
          <w:p>
            <w:r/>
            <w:r>
              <w:rPr>
                <w:b w:val="0"/>
              </w:rPr>
              <w:t>Konkurrent und Motivlieferant</w:t>
            </w:r>
          </w:p>
        </w:tc>
      </w:tr>
      <w:tr>
        <w:tc>
          <w:tcPr>
            <w:tcW w:type="dxa" w:w="3264"/>
            <w:vAlign w:val="top"/>
          </w:tcPr>
          <w:p>
            <w:r/>
            <w:r>
              <w:rPr>
                <w:b w:val="0"/>
              </w:rPr>
              <w:t>Hadad/Adad</w:t>
            </w:r>
          </w:p>
        </w:tc>
        <w:tc>
          <w:tcPr>
            <w:tcW w:type="dxa" w:w="3264"/>
            <w:vAlign w:val="top"/>
          </w:tcPr>
          <w:p>
            <w:r/>
            <w:r>
              <w:rPr>
                <w:b w:val="0"/>
              </w:rPr>
              <w:t>Sturm- und Wettergott Syriens/Mesopotamiens</w:t>
            </w:r>
          </w:p>
        </w:tc>
        <w:tc>
          <w:tcPr>
            <w:tcW w:type="dxa" w:w="3264"/>
            <w:vAlign w:val="top"/>
          </w:tcPr>
          <w:p>
            <w:r/>
            <w:r>
              <w:rPr>
                <w:b w:val="0"/>
              </w:rPr>
              <w:t>Vergleich für JHWHs Sturmtheophanien</w:t>
            </w:r>
          </w:p>
        </w:tc>
      </w:tr>
      <w:tr>
        <w:tc>
          <w:tcPr>
            <w:tcW w:type="dxa" w:w="3264"/>
            <w:vAlign w:val="top"/>
          </w:tcPr>
          <w:p>
            <w:r/>
            <w:r>
              <w:rPr>
                <w:b w:val="0"/>
              </w:rPr>
              <w:t>Ischkur</w:t>
            </w:r>
          </w:p>
        </w:tc>
        <w:tc>
          <w:tcPr>
            <w:tcW w:type="dxa" w:w="3264"/>
            <w:vAlign w:val="top"/>
          </w:tcPr>
          <w:p>
            <w:r/>
            <w:r>
              <w:rPr>
                <w:b w:val="0"/>
              </w:rPr>
              <w:t>Sumerischer Wettergott</w:t>
            </w:r>
          </w:p>
        </w:tc>
        <w:tc>
          <w:tcPr>
            <w:tcW w:type="dxa" w:w="3264"/>
            <w:vAlign w:val="top"/>
          </w:tcPr>
          <w:p>
            <w:r/>
            <w:r>
              <w:rPr>
                <w:b w:val="0"/>
              </w:rPr>
              <w:t>Früher mesopotamischer Vergleich, aber nicht direkt JHWH</w:t>
            </w:r>
          </w:p>
        </w:tc>
      </w:tr>
      <w:tr>
        <w:tc>
          <w:tcPr>
            <w:tcW w:type="dxa" w:w="3264"/>
            <w:vAlign w:val="top"/>
          </w:tcPr>
          <w:p>
            <w:r/>
            <w:r>
              <w:rPr>
                <w:b w:val="0"/>
              </w:rPr>
              <w:t>JHWH</w:t>
            </w:r>
          </w:p>
        </w:tc>
        <w:tc>
          <w:tcPr>
            <w:tcW w:type="dxa" w:w="3264"/>
            <w:vAlign w:val="top"/>
          </w:tcPr>
          <w:p>
            <w:r/>
            <w:r>
              <w:rPr>
                <w:b w:val="0"/>
              </w:rPr>
              <w:t>Krieger, Schutzgott Israels, später Schöpfer und Weltherr</w:t>
            </w:r>
          </w:p>
        </w:tc>
        <w:tc>
          <w:tcPr>
            <w:tcW w:type="dxa" w:w="3264"/>
            <w:vAlign w:val="top"/>
          </w:tcPr>
          <w:p>
            <w:r/>
            <w:r>
              <w:rPr>
                <w:b w:val="0"/>
              </w:rPr>
              <w:t>Übernimmt Wetter-/Kriegssprache, bleibt eigene Traditionslinie</w:t>
            </w:r>
          </w:p>
        </w:tc>
      </w:tr>
    </w:tbl>
    <w:p/>
    <w:p>
      <w:pPr>
        <w:pStyle w:val="Heading1"/>
      </w:pPr>
      <w:r>
        <w:t>4. Kanaan, Israel und die Entstehung des JHWH-Kults</w:t>
      </w:r>
    </w:p>
    <w:p>
      <w:r>
        <w:rPr>
          <w:b/>
        </w:rPr>
        <w:t xml:space="preserve">Arbeitsdokument-These: </w:t>
      </w:r>
      <w:r>
        <w:t>Israel entstand nicht religiös isoliert, sondern innerhalb kanaanäisch-westsemitischer Kultur; JHWH wurde schrittweise mit El identifiziert.</w:t>
      </w:r>
    </w:p>
    <w:p>
      <w:r>
        <w:t>Die Grundrichtung ist sehr gut anschlussfähig. Forschung und Archäologie sprechen dafür, dass frühe israelitische Religion in einer pluralen Umwelt entstand. Das biblische Bild eines von Anfang an fertigen Monotheismus ist theologisch, aber historisch zu glätten. Die stärkere Rekonstruktion lautet: JHWH wurde als Gott Israels/Judas verehrt, mit El identifiziert, übernahm El-Titel und Baal-Motive, und andere göttliche Wesen wurden später verdrängt, umgedeutet oder entmachtet.</w:t>
      </w:r>
    </w:p>
    <w:p>
      <w:r>
        <w:rPr>
          <w:b/>
        </w:rPr>
        <w:t xml:space="preserve">Arbeitsurteil: </w:t>
      </w:r>
      <w:r>
        <w:t>Gut belegt als Entwicklungsmodell; Details bleiben strittig.</w:t>
      </w:r>
    </w:p>
    <w:p>
      <w:r>
        <w:rPr>
          <w:b/>
        </w:rPr>
        <w:t xml:space="preserve">Nächste Forschungsfrage: </w:t>
      </w:r>
      <w:r>
        <w:t>Welche sozialen Gruppen vertraten wann exklusive JHWH-Verehrung, und wie stark war Volksreligion davon abweichend?</w:t>
      </w:r>
    </w:p>
    <w:p>
      <w:pPr>
        <w:pStyle w:val="Heading1"/>
      </w:pPr>
      <w:r>
        <w:t>5. JHWH als lokaler/nationaler Gott und späterer Weltgott</w:t>
      </w:r>
    </w:p>
    <w:p>
      <w:r>
        <w:rPr>
          <w:b/>
        </w:rPr>
        <w:t xml:space="preserve">Arbeitsdokument-These: </w:t>
      </w:r>
      <w:r>
        <w:t>JHWH war zunächst Gott Israels; erst durch die spätere Entwicklung in Judentum, Christentum und Islam wurde er globaler Gott.</w:t>
      </w:r>
    </w:p>
    <w:p>
      <w:r>
        <w:t>Diese These ist historisch stark, wenn sie nicht wertend als 'niedriger Gott', sondern als 'zunächst lokal/national gebundene Gottheit' formuliert wird. In Dtn 32 und Psalm 82 werden ältere Spuren einer göttlichen Ordnung sichtbar, in der JHWH nicht einfach als einziger Gott vorausgesetzt ist. Später konzentrieren exklusive JHWH-Theologie, Exilserfahrung, Schriftwerdung, christliche Mission und islamische Ausbreitung enorme kulturelle Reichweite auf diesen Gott.</w:t>
      </w:r>
    </w:p>
    <w:p>
      <w:r>
        <w:rPr>
          <w:b/>
        </w:rPr>
        <w:t xml:space="preserve">Arbeitsurteil: </w:t>
      </w:r>
      <w:r>
        <w:t>Plausibel bis stark; 'niedrig' bleibt als Begriff zu wertend.</w:t>
      </w:r>
    </w:p>
    <w:p>
      <w:r>
        <w:rPr>
          <w:b/>
        </w:rPr>
        <w:t xml:space="preserve">Nächste Forschungsfrage: </w:t>
      </w:r>
      <w:r>
        <w:t>Wie lässt sich JHWHs Aufstieg mit Marduks Aufstieg in Babylon methodisch vergleichen?</w:t>
      </w:r>
    </w:p>
    <w:p>
      <w:pPr>
        <w:pStyle w:val="Heading1"/>
      </w:pPr>
      <w:r>
        <w:t>6. Elohim: Gott, Götter oder göttliche Wesen?</w:t>
      </w:r>
    </w:p>
    <w:p>
      <w:r>
        <w:rPr>
          <w:b/>
        </w:rPr>
        <w:t xml:space="preserve">Arbeitsdokument-These: </w:t>
      </w:r>
      <w:r>
        <w:t>Elohim ist plural gebildet und bewahrt Spuren einer älteren pluralen Götterwelt.</w:t>
      </w:r>
    </w:p>
    <w:p>
      <w:r>
        <w:t>Der Begriff Elohim ist zentral. Er kann den Gott Israels bezeichnen, aber auch Götter oder göttliche Wesen. Bei JHWH steht Elohim meist grammatisch singularisch; in Psalm 82 und ähnlichen Texten öffnet sich aber der ältere Horizont eines göttlichen Rates. Für das Projekt ist entscheidend: Elohim ist kein einfacher Beweis für 'viele Götter im Singular', aber ein starkes Fenster in die Übergangszone zwischen Polytheismus, Monolatrie und Monotheismus.</w:t>
      </w:r>
    </w:p>
    <w:p>
      <w:r>
        <w:rPr>
          <w:b/>
        </w:rPr>
        <w:t xml:space="preserve">Arbeitsurteil: </w:t>
      </w:r>
      <w:r>
        <w:t>Bestätigt: komplexe Semantik; zu einfach als bloßer Majestätsplural.</w:t>
      </w:r>
    </w:p>
    <w:p>
      <w:r>
        <w:rPr>
          <w:b/>
        </w:rPr>
        <w:t xml:space="preserve">Nächste Forschungsfrage: </w:t>
      </w:r>
      <w:r>
        <w:t>Welche Bibelstellen verwenden Elohim eindeutig plural, welche singular, und welche bleiben doppeldeutig?</w:t>
      </w:r>
    </w:p>
    <w:p>
      <w:pPr>
        <w:pStyle w:val="Heading1"/>
      </w:pPr>
      <w:r>
        <w:t>7. Deuteronomium 32, Psalm 82 und der göttliche Rat</w:t>
      </w:r>
    </w:p>
    <w:p>
      <w:r>
        <w:rPr>
          <w:b/>
        </w:rPr>
        <w:t xml:space="preserve">Arbeitsdokument-These: </w:t>
      </w:r>
      <w:r>
        <w:t>Bibeltexte zeigen, dass JHWH/Elohim in einer Versammlung göttlicher Wesen gedacht werden konnte.</w:t>
      </w:r>
    </w:p>
    <w:p>
      <w:r>
        <w:t>Dtn 32,8-9 ist besonders wichtig, weil ältere Textzeugen wahrscheinlich 'Söhne Gottes' statt 'Söhne Israels' bewahren. Dann verteilt Elyon die Völker an göttliche Wesen und JHWH erhält Israel als Anteil. Psalm 82 zeigt Elohim im Rat Els/Gottes, wo andere Elohim gerichtet werden. Diese Texte gehören zum stärksten Material für deine These, dass frühe biblische Religion nicht mit späterem strengen Monotheismus identisch ist.</w:t>
      </w:r>
    </w:p>
    <w:p>
      <w:r>
        <w:rPr>
          <w:b/>
        </w:rPr>
        <w:t xml:space="preserve">Arbeitsurteil: </w:t>
      </w:r>
      <w:r>
        <w:t>Sehr starkes Untersuchungsfeld; nächstes priorisiertes Dossier.</w:t>
      </w:r>
    </w:p>
    <w:p>
      <w:r>
        <w:rPr>
          <w:b/>
        </w:rPr>
        <w:t xml:space="preserve">Nächste Forschungsfrage: </w:t>
      </w:r>
      <w:r>
        <w:t>Wie lauten MT, LXX und Qumran-Lesarten, und welche Rekonstruktion ist am wahrscheinlichsten?</w:t>
      </w:r>
    </w:p>
    <w:p>
      <w:pPr>
        <w:pStyle w:val="Heading1"/>
      </w:pPr>
      <w:r>
        <w:t>8. Sumer, Akkad, Babylon und die Genesis</w:t>
      </w:r>
    </w:p>
    <w:p>
      <w:r>
        <w:rPr>
          <w:b/>
        </w:rPr>
        <w:t xml:space="preserve">Arbeitsdokument-These: </w:t>
      </w:r>
      <w:r>
        <w:t>Genesis verarbeitet ältere mesopotamische Stoffe: Urwasser, Mensch aus Lehm, göttliche Arbeit, Sintflut und Sprachverwirrung.</w:t>
      </w:r>
    </w:p>
    <w:p>
      <w:r>
        <w:t>Die Parallelen zwischen Genesis 1-11 und mesopotamischen Traditionen sind teilweise sehr stark, besonders bei der Flut. Atrahasis, Gilgamesch und Ziusudra liefern wichtige Vergleichsstoffe. Der Mensch aus Lehm und die Entlastung der Götter von Arbeit sind ebenfalls relevante Motive. Das bedeutet aber nicht automatisch, dass JHWH ein sumerischer Gott war. Stärker ist: biblische Autoren verarbeiten ältere Erzählstoffe in einer neuen theologischen Ordnung.</w:t>
      </w:r>
    </w:p>
    <w:p>
      <w:r>
        <w:rPr>
          <w:b/>
        </w:rPr>
        <w:t xml:space="preserve">Arbeitsurteil: </w:t>
      </w:r>
      <w:r>
        <w:t>Stark für Traditionsübernahme; schwach für direkte JHWH-Anunnaki-Identität.</w:t>
      </w:r>
    </w:p>
    <w:p>
      <w:r>
        <w:rPr>
          <w:b/>
        </w:rPr>
        <w:t xml:space="preserve">Nächste Forschungsfrage: </w:t>
      </w:r>
      <w:r>
        <w:t>Welche Genesis-Motive sind literarisch abhängig, welche allgemein altorientalisch und welche spezifisch israelitisch umgedeutet?</w:t>
      </w:r>
    </w:p>
    <w:p>
      <w:pPr>
        <w:pStyle w:val="Heading1"/>
      </w:pPr>
      <w:r>
        <w:t>9. Anunnaki, Igigi, Nephilim, Theoi und Netjeru</w:t>
      </w:r>
    </w:p>
    <w:p>
      <w:r>
        <w:rPr>
          <w:b/>
        </w:rPr>
        <w:t xml:space="preserve">Arbeitsdokument-These: </w:t>
      </w:r>
      <w:r>
        <w:t>Verschiedene Kulturen kennen göttliche Gruppen oder Wesenklassen; möglicherweise sind dies vergleichbare oder sogar dieselben Wesen unter anderen Namen.</w:t>
      </w:r>
    </w:p>
    <w:p>
      <w:r>
        <w:t>Als Strukturvergleich ist diese These fruchtbar. Anunnaki/Anunna sind mesopotamische Göttergruppen wechselnder Zusammensetzung; Igigi werden oft als himmlische Göttergruppe gebraucht; Nephilim sind biblische Vorzeitgestalten; Theoi ist der allgemeine griechische Begriff für Götter; Netjeru/nTrw bezeichnet ägyptische Götter. Eine direkte Identität ist nicht belegbar, aber die Vergleichskategorien göttlicher Rat, Himmelswesen, Schutzgötter, Unterweltsmächte und Helden der Vorzeit sind sehr wichtig.</w:t>
      </w:r>
    </w:p>
    <w:p>
      <w:r>
        <w:rPr>
          <w:b/>
        </w:rPr>
        <w:t xml:space="preserve">Arbeitsurteil: </w:t>
      </w:r>
      <w:r>
        <w:t>Mittel als Vergleich, schwach als direkte Identität.</w:t>
      </w:r>
    </w:p>
    <w:p>
      <w:r>
        <w:rPr>
          <w:b/>
        </w:rPr>
        <w:t xml:space="preserve">Nächste Forschungsfrage: </w:t>
      </w:r>
      <w:r>
        <w:t>Welche Merkmale teilen diese Wesenklassen wirklich, und welche Unterschiede sind kultur- und textgebunden?</w:t>
      </w:r>
    </w:p>
    <w:p>
      <w:pPr>
        <w:pStyle w:val="Heading1"/>
      </w:pPr>
      <w:r>
        <w:t>10. Marduk, Enki/Ea und Enlil als Vergleichsmodelle</w:t>
      </w:r>
    </w:p>
    <w:p>
      <w:r>
        <w:rPr>
          <w:b/>
        </w:rPr>
        <w:t xml:space="preserve">Arbeitsdokument-These: </w:t>
      </w:r>
      <w:r>
        <w:t>Mesopotamische Gottheiten wie Enki, Enlil und Marduk zeigen Funktionen, die später bei JHWH konzentriert erscheinen.</w:t>
      </w:r>
    </w:p>
    <w:p>
      <w:r>
        <w:t>Enki/Ea ist Weisheits-, Süßwasser- und Kulturbringerfigur, oft menschenfreundlich und in Fluttraditionen rettend. Enlil trägt Autorität, Sturm/Wind und teils harte Beschlussmacht. Marduk ist besonders wichtig, weil sein Aufstieg vom Stadtgott Babylons zum König der Götter ein starkes Vergleichsmodell für religiöse Aufstiegsgeschichten bietet. Trotzdem ist JHWH nicht direkt als Enki, Enlil oder Marduk nachweisbar; die Vergleichsstärke liegt in Rollenübernahme und Aufstiegsstruktur.</w:t>
      </w:r>
    </w:p>
    <w:p>
      <w:r>
        <w:rPr>
          <w:b/>
        </w:rPr>
        <w:t xml:space="preserve">Arbeitsurteil: </w:t>
      </w:r>
      <w:r>
        <w:t>Stark als Vergleichsmodell, nicht als Identitätsbeweis.</w:t>
      </w:r>
    </w:p>
    <w:p>
      <w:r>
        <w:rPr>
          <w:b/>
        </w:rPr>
        <w:t xml:space="preserve">Nächste Forschungsfrage: </w:t>
      </w:r>
      <w:r>
        <w:t>Welche Funktionen Enkis, Enlils und Marduks erscheinen in Genesis oder JHWH-Texten gebündelt?</w:t>
      </w:r>
    </w:p>
    <w:p>
      <w:pPr>
        <w:pStyle w:val="Heading1"/>
      </w:pPr>
      <w:r>
        <w:t>11. Gewalt, Opfer, Bann und Durchsetzung</w:t>
      </w:r>
    </w:p>
    <w:p>
      <w:r>
        <w:rPr>
          <w:b/>
        </w:rPr>
        <w:t xml:space="preserve">Arbeitsdokument-These: </w:t>
      </w:r>
      <w:r>
        <w:t>JHWHs Vorrang könnte durch Kriegs-, Opfer- und Gewaltideologien legitimiert worden sein.</w:t>
      </w:r>
    </w:p>
    <w:p>
      <w:r>
        <w:t>Die Bibel enthält harte Gewalttexte: Bann, Vernichtung, göttlicher Krieg, Opferforderungen und Polemik gegen andere Kulte. Wissenschaftlich ist nicht zu sagen, eine reale Gottheit habe Gewalt angewandt; belegbar ist aber, dass Texte, Priesterschaften, Königtum und Reformbewegungen JHWHs Vorrang mit Gewalt-, Opfer- und Reinheitslogiken begründeten. Kinderopfer sind besonders komplex: Die Bibel verurteilt sie, aber Verbote und Polemik zeigen, dass solche Praktiken in Israel/Juda als reales oder rhetorisches Problem präsent waren.</w:t>
      </w:r>
    </w:p>
    <w:p>
      <w:r>
        <w:rPr>
          <w:b/>
        </w:rPr>
        <w:t xml:space="preserve">Arbeitsurteil: </w:t>
      </w:r>
      <w:r>
        <w:t>Plausibel als sozialhistorische Machtanalyse; ethisch stark problematisch.</w:t>
      </w:r>
    </w:p>
    <w:p>
      <w:r>
        <w:rPr>
          <w:b/>
        </w:rPr>
        <w:t xml:space="preserve">Nächste Forschungsfrage: </w:t>
      </w:r>
      <w:r>
        <w:t>Welche Texte legitimieren Gewalt, welche kritisieren sie, und welche Gruppen profitieren von der jeweiligen Deutung?</w:t>
      </w:r>
    </w:p>
    <w:p>
      <w:pPr>
        <w:pStyle w:val="Heading1"/>
      </w:pPr>
      <w:r>
        <w:t>12. Abrahamitische Gotteslinie: JHWH, Gott und Allah</w:t>
      </w:r>
    </w:p>
    <w:p>
      <w:r>
        <w:rPr>
          <w:b/>
        </w:rPr>
        <w:t xml:space="preserve">Arbeitsdokument-These: </w:t>
      </w:r>
      <w:r>
        <w:t>JHWH/El/Gott/Allah beziehen sich in Judentum, Christentum und Islam auf denselben Gott Abrahams, aber dieser Gott steht historisch auf älteren pluralen Schichten.</w:t>
      </w:r>
    </w:p>
    <w:p>
      <w:r>
        <w:t>Theologisch ist die Kontinuität stark: Alle drei Religionen beziehen sich auf den Gott Abrahams, allerdings mit unterschiedlichen Lehren über Bund, Christus, Trinität, Offenbarung, Prophetie und Gottes Einheit. Historisch ist die Linie nicht einfach 'ein unveränderter Gott', sondern eine fortlaufende Umdeutung des Gottes Israels in jüdischen, christlichen und islamischen Kontexten. Für deine These ist wichtig: derselbe Gott im abrahamitischen Selbstverständnis, aber mit religionsgeschichtlich nachweisbarer Entwicklung.</w:t>
      </w:r>
    </w:p>
    <w:p>
      <w:r>
        <w:rPr>
          <w:b/>
        </w:rPr>
        <w:t xml:space="preserve">Arbeitsurteil: </w:t>
      </w:r>
      <w:r>
        <w:t>Theologisch stark, historisch differenziert.</w:t>
      </w:r>
    </w:p>
    <w:p>
      <w:r>
        <w:rPr>
          <w:b/>
        </w:rPr>
        <w:t xml:space="preserve">Nächste Forschungsfrage: </w:t>
      </w:r>
      <w:r>
        <w:t>Welche Aussagen über Gottes Einheit teilen Judentum, Christentum und Islam, und wo widersprechen sie sich?</w:t>
      </w:r>
    </w:p>
    <w:p>
      <w:pPr>
        <w:pStyle w:val="Heading1"/>
      </w:pPr>
      <w:r>
        <w:t>13. Namenswechsel-These und Identitätsgrade</w:t>
      </w:r>
    </w:p>
    <w:p>
      <w:r>
        <w:rPr>
          <w:b/>
        </w:rPr>
        <w:t xml:space="preserve">Arbeitsdokument-These: </w:t>
      </w:r>
      <w:r>
        <w:t>Viele Gottheiten könnten dieselben Wesen unter anderen Namen sein.</w:t>
      </w:r>
    </w:p>
    <w:p>
      <w:r>
        <w:t>Die These ist am stärksten dort, wo Quellen selbst Gleichsetzungen, Übersetzungen oder stabile Funktionskontinuitäten zeigen. Baal/Hadad/Adad und Nikkal/Ningal sind deutlich stärker als JHWH/Marduk oder Elohim/Anunnaki. Für das Projekt ist deshalb nicht die Frage 'alles gleich oder alles getrennt' entscheidend, sondern eine Matrix von Identitätsgraden. So bleibt deine Grundintuition erhalten, wird aber wissenschaftlich prüfbar.</w:t>
      </w:r>
    </w:p>
    <w:p>
      <w:r>
        <w:rPr>
          <w:b/>
        </w:rPr>
        <w:t xml:space="preserve">Arbeitsurteil: </w:t>
      </w:r>
      <w:r>
        <w:t>Sehr brauchbar als Arbeitsmodell, wenn Identitätsgrade verwendet werden.</w:t>
      </w:r>
    </w:p>
    <w:p>
      <w:r>
        <w:rPr>
          <w:b/>
        </w:rPr>
        <w:t xml:space="preserve">Nächste Forschungsfrage: </w:t>
      </w:r>
      <w:r>
        <w:t>Welche Gottheiten erreichen Identitätsgrad 4-5, welche nur 1-3?</w:t>
      </w:r>
    </w:p>
    <w:p>
      <w:pPr>
        <w:pStyle w:val="Heading1"/>
      </w:pPr>
      <w:r>
        <w:t>Kernmatrix für die weitere Forschung</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Verbindung</w:t>
            </w:r>
          </w:p>
        </w:tc>
        <w:tc>
          <w:tcPr>
            <w:tcW w:type="dxa" w:w="3264"/>
            <w:vAlign w:val="top"/>
            <w:shd w:fill="D9EAF7"/>
          </w:tcPr>
          <w:p>
            <w:r/>
            <w:r>
              <w:rPr>
                <w:b/>
              </w:rPr>
              <w:t>Vorläufiger Identitätsgrad</w:t>
            </w:r>
          </w:p>
        </w:tc>
        <w:tc>
          <w:tcPr>
            <w:tcW w:type="dxa" w:w="3264"/>
            <w:vAlign w:val="top"/>
            <w:shd w:fill="D9EAF7"/>
          </w:tcPr>
          <w:p>
            <w:r/>
            <w:r>
              <w:rPr>
                <w:b/>
              </w:rPr>
              <w:t>Kurzbegründung</w:t>
            </w:r>
          </w:p>
        </w:tc>
      </w:tr>
      <w:tr>
        <w:tc>
          <w:tcPr>
            <w:tcW w:type="dxa" w:w="3264"/>
            <w:vAlign w:val="top"/>
          </w:tcPr>
          <w:p>
            <w:r/>
            <w:r>
              <w:rPr>
                <w:b w:val="0"/>
              </w:rPr>
              <w:t>Baal - Hadad - Adad - Ischkur</w:t>
            </w:r>
          </w:p>
        </w:tc>
        <w:tc>
          <w:tcPr>
            <w:tcW w:type="dxa" w:w="3264"/>
            <w:vAlign w:val="top"/>
          </w:tcPr>
          <w:p>
            <w:r/>
            <w:r>
              <w:rPr>
                <w:b w:val="0"/>
              </w:rPr>
              <w:t>4</w:t>
            </w:r>
          </w:p>
        </w:tc>
        <w:tc>
          <w:tcPr>
            <w:tcW w:type="dxa" w:w="3264"/>
            <w:vAlign w:val="top"/>
          </w:tcPr>
          <w:p>
            <w:r/>
            <w:r>
              <w:rPr>
                <w:b w:val="0"/>
              </w:rPr>
              <w:t>Starker Wettergott-Komplex mit sprachlich/kulturellen Übergängen.</w:t>
            </w:r>
          </w:p>
        </w:tc>
      </w:tr>
      <w:tr>
        <w:tc>
          <w:tcPr>
            <w:tcW w:type="dxa" w:w="3264"/>
            <w:vAlign w:val="top"/>
          </w:tcPr>
          <w:p>
            <w:r/>
            <w:r>
              <w:rPr>
                <w:b w:val="0"/>
              </w:rPr>
              <w:t>Dagan - Dagon</w:t>
            </w:r>
          </w:p>
        </w:tc>
        <w:tc>
          <w:tcPr>
            <w:tcW w:type="dxa" w:w="3264"/>
            <w:vAlign w:val="top"/>
          </w:tcPr>
          <w:p>
            <w:r/>
            <w:r>
              <w:rPr>
                <w:b w:val="0"/>
              </w:rPr>
              <w:t>4</w:t>
            </w:r>
          </w:p>
        </w:tc>
        <w:tc>
          <w:tcPr>
            <w:tcW w:type="dxa" w:w="3264"/>
            <w:vAlign w:val="top"/>
          </w:tcPr>
          <w:p>
            <w:r/>
            <w:r>
              <w:rPr>
                <w:b w:val="0"/>
              </w:rPr>
              <w:t>Eng verbundene westsemitisch-mesopotamische Gottheit, aber nicht simpel 'sumerisch'.</w:t>
            </w:r>
          </w:p>
        </w:tc>
      </w:tr>
      <w:tr>
        <w:tc>
          <w:tcPr>
            <w:tcW w:type="dxa" w:w="3264"/>
            <w:vAlign w:val="top"/>
          </w:tcPr>
          <w:p>
            <w:r/>
            <w:r>
              <w:rPr>
                <w:b w:val="0"/>
              </w:rPr>
              <w:t>Nikkal - Ningal</w:t>
            </w:r>
          </w:p>
        </w:tc>
        <w:tc>
          <w:tcPr>
            <w:tcW w:type="dxa" w:w="3264"/>
            <w:vAlign w:val="top"/>
          </w:tcPr>
          <w:p>
            <w:r/>
            <w:r>
              <w:rPr>
                <w:b w:val="0"/>
              </w:rPr>
              <w:t>4-5</w:t>
            </w:r>
          </w:p>
        </w:tc>
        <w:tc>
          <w:tcPr>
            <w:tcW w:type="dxa" w:w="3264"/>
            <w:vAlign w:val="top"/>
          </w:tcPr>
          <w:p>
            <w:r/>
            <w:r>
              <w:rPr>
                <w:b w:val="0"/>
              </w:rPr>
              <w:t>Sehr starke westliche Form der mesopotamischen Ningal.</w:t>
            </w:r>
          </w:p>
        </w:tc>
      </w:tr>
      <w:tr>
        <w:tc>
          <w:tcPr>
            <w:tcW w:type="dxa" w:w="3264"/>
            <w:vAlign w:val="top"/>
          </w:tcPr>
          <w:p>
            <w:r/>
            <w:r>
              <w:rPr>
                <w:b w:val="0"/>
              </w:rPr>
              <w:t>JHWH - El</w:t>
            </w:r>
          </w:p>
        </w:tc>
        <w:tc>
          <w:tcPr>
            <w:tcW w:type="dxa" w:w="3264"/>
            <w:vAlign w:val="top"/>
          </w:tcPr>
          <w:p>
            <w:r/>
            <w:r>
              <w:rPr>
                <w:b w:val="0"/>
              </w:rPr>
              <w:t>5</w:t>
            </w:r>
          </w:p>
        </w:tc>
        <w:tc>
          <w:tcPr>
            <w:tcW w:type="dxa" w:w="3264"/>
            <w:vAlign w:val="top"/>
          </w:tcPr>
          <w:p>
            <w:r/>
            <w:r>
              <w:rPr>
                <w:b w:val="0"/>
              </w:rPr>
              <w:t>Wahrscheinliche Verschmelzung/Identifikation im Israelitischen Kontext.</w:t>
            </w:r>
          </w:p>
        </w:tc>
      </w:tr>
      <w:tr>
        <w:tc>
          <w:tcPr>
            <w:tcW w:type="dxa" w:w="3264"/>
            <w:vAlign w:val="top"/>
          </w:tcPr>
          <w:p>
            <w:r/>
            <w:r>
              <w:rPr>
                <w:b w:val="0"/>
              </w:rPr>
              <w:t>JHWH - Baal/Hadad</w:t>
            </w:r>
          </w:p>
        </w:tc>
        <w:tc>
          <w:tcPr>
            <w:tcW w:type="dxa" w:w="3264"/>
            <w:vAlign w:val="top"/>
          </w:tcPr>
          <w:p>
            <w:r/>
            <w:r>
              <w:rPr>
                <w:b w:val="0"/>
              </w:rPr>
              <w:t>3</w:t>
            </w:r>
          </w:p>
        </w:tc>
        <w:tc>
          <w:tcPr>
            <w:tcW w:type="dxa" w:w="3264"/>
            <w:vAlign w:val="top"/>
          </w:tcPr>
          <w:p>
            <w:r/>
            <w:r>
              <w:rPr>
                <w:b w:val="0"/>
              </w:rPr>
              <w:t>Motivübernahme und Konkurrenz, keine einfache Identität.</w:t>
            </w:r>
          </w:p>
        </w:tc>
      </w:tr>
      <w:tr>
        <w:tc>
          <w:tcPr>
            <w:tcW w:type="dxa" w:w="3264"/>
            <w:vAlign w:val="top"/>
          </w:tcPr>
          <w:p>
            <w:r/>
            <w:r>
              <w:rPr>
                <w:b w:val="0"/>
              </w:rPr>
              <w:t>JHWH - Marduk</w:t>
            </w:r>
          </w:p>
        </w:tc>
        <w:tc>
          <w:tcPr>
            <w:tcW w:type="dxa" w:w="3264"/>
            <w:vAlign w:val="top"/>
          </w:tcPr>
          <w:p>
            <w:r/>
            <w:r>
              <w:rPr>
                <w:b w:val="0"/>
              </w:rPr>
              <w:t>2</w:t>
            </w:r>
          </w:p>
        </w:tc>
        <w:tc>
          <w:tcPr>
            <w:tcW w:type="dxa" w:w="3264"/>
            <w:vAlign w:val="top"/>
          </w:tcPr>
          <w:p>
            <w:r/>
            <w:r>
              <w:rPr>
                <w:b w:val="0"/>
              </w:rPr>
              <w:t>Paralleler Aufstieg zum universalen Hauptgott; keine direkte Identität.</w:t>
            </w:r>
          </w:p>
        </w:tc>
      </w:tr>
      <w:tr>
        <w:tc>
          <w:tcPr>
            <w:tcW w:type="dxa" w:w="3264"/>
            <w:vAlign w:val="top"/>
          </w:tcPr>
          <w:p>
            <w:r/>
            <w:r>
              <w:rPr>
                <w:b w:val="0"/>
              </w:rPr>
              <w:t>Elohim - Anunnaki</w:t>
            </w:r>
          </w:p>
        </w:tc>
        <w:tc>
          <w:tcPr>
            <w:tcW w:type="dxa" w:w="3264"/>
            <w:vAlign w:val="top"/>
          </w:tcPr>
          <w:p>
            <w:r/>
            <w:r>
              <w:rPr>
                <w:b w:val="0"/>
              </w:rPr>
              <w:t>2</w:t>
            </w:r>
          </w:p>
        </w:tc>
        <w:tc>
          <w:tcPr>
            <w:tcW w:type="dxa" w:w="3264"/>
            <w:vAlign w:val="top"/>
          </w:tcPr>
          <w:p>
            <w:r/>
            <w:r>
              <w:rPr>
                <w:b w:val="0"/>
              </w:rPr>
              <w:t>Vergleichbare göttliche Gruppenbegriffe, aber sprachlich/historisch verschieden.</w:t>
            </w:r>
          </w:p>
        </w:tc>
      </w:tr>
      <w:tr>
        <w:tc>
          <w:tcPr>
            <w:tcW w:type="dxa" w:w="3264"/>
            <w:vAlign w:val="top"/>
          </w:tcPr>
          <w:p>
            <w:r/>
            <w:r>
              <w:rPr>
                <w:b w:val="0"/>
              </w:rPr>
              <w:t>JHWH - Gott - Allah</w:t>
            </w:r>
          </w:p>
        </w:tc>
        <w:tc>
          <w:tcPr>
            <w:tcW w:type="dxa" w:w="3264"/>
            <w:vAlign w:val="top"/>
          </w:tcPr>
          <w:p>
            <w:r/>
            <w:r>
              <w:rPr>
                <w:b w:val="0"/>
              </w:rPr>
              <w:t>6</w:t>
            </w:r>
          </w:p>
        </w:tc>
        <w:tc>
          <w:tcPr>
            <w:tcW w:type="dxa" w:w="3264"/>
            <w:vAlign w:val="top"/>
          </w:tcPr>
          <w:p>
            <w:r/>
            <w:r>
              <w:rPr>
                <w:b w:val="0"/>
              </w:rPr>
              <w:t>Theologische Kontinuitätsbehauptung der abrahamitischen Linie, historisch differenziert.</w:t>
            </w:r>
          </w:p>
        </w:tc>
      </w:tr>
    </w:tbl>
    <w:p/>
    <w:p>
      <w:pPr>
        <w:pStyle w:val="Heading1"/>
      </w:pPr>
      <w:r>
        <w:t>Priorisierte nächste Dossiers</w:t>
      </w:r>
    </w:p>
    <w:p>
      <w:pPr>
        <w:pStyle w:val="ListNumber"/>
      </w:pPr>
      <w:r>
        <w:t>Dtn 32,8-9 und Psalm 82: JHWH/Elohim im göttlichen Rat.</w:t>
      </w:r>
    </w:p>
    <w:p>
      <w:pPr>
        <w:pStyle w:val="ListNumber"/>
      </w:pPr>
      <w:r>
        <w:t>JHWH-El: Titel, Funktionen, Textschichten und Verschmelzung.</w:t>
      </w:r>
    </w:p>
    <w:p>
      <w:pPr>
        <w:pStyle w:val="ListNumber"/>
      </w:pPr>
      <w:r>
        <w:t>Baal/Hadad/Adad: Wettergott-Komplex und JHWHs Sturm-/Kriegsattribute.</w:t>
      </w:r>
    </w:p>
    <w:p>
      <w:pPr>
        <w:pStyle w:val="ListNumber"/>
      </w:pPr>
      <w:r>
        <w:t>Marduk und JHWH: lokaler Gott wird Welt-/Reichsgott.</w:t>
      </w:r>
    </w:p>
    <w:p>
      <w:pPr>
        <w:pStyle w:val="ListNumber"/>
      </w:pPr>
      <w:r>
        <w:t>Opfer und Gewalt: Kinderopfer, Molek, Erstgeburt, Bann, Kriegsrhetorik.</w:t>
      </w:r>
    </w:p>
    <w:p>
      <w:pPr>
        <w:pStyle w:val="ListNumber"/>
      </w:pPr>
      <w:r>
        <w:t>Elohim/Anunnaki/Nephilim: Wesenklassen statt vorschneller Identität.</w:t>
      </w:r>
    </w:p>
    <w:p>
      <w:pPr>
        <w:pStyle w:val="Heading1"/>
      </w:pPr>
      <w:r>
        <w:t>Quellenbasis</w:t>
      </w:r>
    </w:p>
    <w:p>
      <w:pPr>
        <w:pStyle w:val="ListBullet"/>
      </w:pPr>
      <w:r>
        <w:rPr>
          <w:b/>
        </w:rPr>
        <w:t xml:space="preserve">Mark S. Smith, The Origins of Biblical Monotheism: </w:t>
      </w:r>
      <w:r>
        <w:t>https://academic.oup.com/book/12858/1000</w:t>
      </w:r>
    </w:p>
    <w:p>
      <w:pPr>
        <w:pStyle w:val="ListBullet"/>
      </w:pPr>
      <w:r>
        <w:rPr>
          <w:b/>
        </w:rPr>
        <w:t xml:space="preserve">Mark S. Smith, The Early History of God: </w:t>
      </w:r>
      <w:r>
        <w:t>https://www.eerdmans.com/9780802839725/the-early-history-of-god/</w:t>
      </w:r>
    </w:p>
    <w:p>
      <w:pPr>
        <w:pStyle w:val="ListBullet"/>
      </w:pPr>
      <w:r>
        <w:rPr>
          <w:b/>
        </w:rPr>
        <w:t xml:space="preserve">Oxford Bibliographies: God, Ancient Israel: </w:t>
      </w:r>
      <w:r>
        <w:t>https://academic.oup.com/reference/62341/reference-article-abstract/554105012</w:t>
      </w:r>
    </w:p>
    <w:p>
      <w:pPr>
        <w:pStyle w:val="ListBullet"/>
      </w:pPr>
      <w:r>
        <w:rPr>
          <w:b/>
        </w:rPr>
        <w:t xml:space="preserve">Theodore J. Lewis, The Origin and Character of God: </w:t>
      </w:r>
      <w:r>
        <w:t>https://academic.oup.com/book/37440</w:t>
      </w:r>
    </w:p>
    <w:p>
      <w:pPr>
        <w:pStyle w:val="ListBullet"/>
      </w:pPr>
      <w:r>
        <w:rPr>
          <w:b/>
        </w:rPr>
        <w:t xml:space="preserve">Smoak/Schniedewind, Religion at Kuntillet Ajrud: </w:t>
      </w:r>
      <w:r>
        <w:t>https://www.mdpi.com/2077-1444/10/3/211</w:t>
      </w:r>
    </w:p>
    <w:p>
      <w:pPr>
        <w:pStyle w:val="ListBullet"/>
      </w:pPr>
      <w:r>
        <w:rPr>
          <w:b/>
        </w:rPr>
        <w:t xml:space="preserve">Emanuel Tov, Deuteronomy 32:8: </w:t>
      </w:r>
      <w:r>
        <w:t>https://www.thetorah.com/article/the-sons-of-israel-or-god-deuteronomy-32-8</w:t>
      </w:r>
    </w:p>
    <w:p>
      <w:pPr>
        <w:pStyle w:val="ListBullet"/>
      </w:pPr>
      <w:r>
        <w:rPr>
          <w:b/>
        </w:rPr>
        <w:t xml:space="preserve">ORACC: Anunna/Anunnaki: </w:t>
      </w:r>
      <w:r>
        <w:t>https://oracc.museum.upenn.edu/amgg/listofdeities/anunna/index.html</w:t>
      </w:r>
    </w:p>
    <w:p>
      <w:pPr>
        <w:pStyle w:val="ListBullet"/>
      </w:pPr>
      <w:r>
        <w:rPr>
          <w:b/>
        </w:rPr>
        <w:t xml:space="preserve">ORACC: Dagan: </w:t>
      </w:r>
      <w:r>
        <w:t>https://oracc.museum.upenn.edu/amgg/listofdeities/dagan/index.html</w:t>
      </w:r>
    </w:p>
    <w:p>
      <w:pPr>
        <w:pStyle w:val="ListBullet"/>
      </w:pPr>
      <w:r>
        <w:rPr>
          <w:b/>
        </w:rPr>
        <w:t xml:space="preserve">ORACC: Tiamat: </w:t>
      </w:r>
      <w:r>
        <w:t>https://oracc.museum.upenn.edu/amgg/Listofdeities/Tiamat/index.html</w:t>
      </w:r>
    </w:p>
    <w:p>
      <w:pPr>
        <w:pStyle w:val="ListBullet"/>
      </w:pPr>
      <w:r>
        <w:rPr>
          <w:b/>
        </w:rPr>
        <w:t xml:space="preserve">ORACC: Ancient Mesopotamian Gods and Goddesses: </w:t>
      </w:r>
      <w:r>
        <w:t>https://oracc.museum.upenn.edu/amgg/index.html</w:t>
      </w:r>
    </w:p>
    <w:p>
      <w:pPr>
        <w:pStyle w:val="ListBullet"/>
      </w:pPr>
      <w:r>
        <w:rPr>
          <w:b/>
        </w:rPr>
        <w:t xml:space="preserve">Herbert Niehr, The Many Faces of Hadad: </w:t>
      </w:r>
      <w:r>
        <w:t>https://uplopen.com/chapters/e/10.1515/9783111326511-010</w:t>
      </w:r>
    </w:p>
    <w:p>
      <w:pPr>
        <w:pStyle w:val="ListBullet"/>
      </w:pPr>
      <w:r>
        <w:rPr>
          <w:b/>
        </w:rPr>
        <w:t xml:space="preserve">Caitlin Hubler, Hosea and Baal semantics: </w:t>
      </w:r>
      <w:r>
        <w:t>https://journals.sagepub.com/doi/abs/10.1177/0309089219862804</w:t>
      </w:r>
    </w:p>
    <w:p>
      <w:pPr>
        <w:pStyle w:val="ListBullet"/>
      </w:pPr>
      <w:r>
        <w:rPr>
          <w:b/>
        </w:rPr>
        <w:t xml:space="preserve">Susan Niditch, War in the Hebrew Bible: </w:t>
      </w:r>
      <w:r>
        <w:t>https://academic.oup.com/book/50201</w:t>
      </w:r>
    </w:p>
    <w:p>
      <w:pPr>
        <w:pStyle w:val="ListBullet"/>
      </w:pPr>
      <w:r>
        <w:rPr>
          <w:b/>
        </w:rPr>
        <w:t xml:space="preserve">Heath D. Dewrell, Child Sacrifice in Ancient Israel: </w:t>
      </w:r>
      <w:r>
        <w:t>https://www.jstor.org/stable/10.5325/j.ctv2321hnd</w:t>
      </w:r>
    </w:p>
    <w:p>
      <w:pPr>
        <w:pStyle w:val="ListBullet"/>
      </w:pPr>
      <w:r>
        <w:rPr>
          <w:b/>
        </w:rPr>
        <w:t xml:space="preserve">TheTorah.com, Enuma Elish and Marduk: </w:t>
      </w:r>
      <w:r>
        <w:t>https://www.thetorah.com/article/enuma-elish-babylonias-creation-myth-and-the-enthronement-of-marduk</w:t>
      </w:r>
    </w:p>
    <w:p>
      <w:pPr>
        <w:pStyle w:val="ListBullet"/>
      </w:pPr>
      <w:r>
        <w:rPr>
          <w:b/>
        </w:rPr>
        <w:t xml:space="preserve">Joanna Töyräänvuori, Sea and the Combat Myth: </w:t>
      </w:r>
      <w:r>
        <w:t>https://researchportal.helsinki.fi/en/publications/sea-and-the-combat-myth-north-west-semitic-political-mythology-in/</w:t>
      </w:r>
    </w:p>
    <w:p>
      <w:pPr>
        <w:pStyle w:val="Heading1"/>
      </w:pPr>
      <w:r>
        <w:t>Arbeitsfazit</w:t>
      </w:r>
    </w:p>
    <w:p>
      <w:r>
        <w:t>Dieses Grundlagendokument setzt den Rahmen für die nächsten Forschungsschritte. Die stärkste Linie lautet: JHWH entstand nicht als isolierter, von Anfang an universaler Monotheos, sondern als Gott Israels/Judas in einer pluralen altorientalischen Umwelt. Sein späteres Profil bündelt El-Titel, Baal-artige Wetter- und Kriegsmerkmale, mesopotamisch geprägte Erzählmotive und spätere abrahamitische Theologie. Die These der verschiedenen Namen bleibt forschungsfähig, wenn sie über Identitätsgrade und konkrete Belegtypen geprüft wird.</w:t>
      </w:r>
    </w:p>
    <w:sectPr w:rsidR="00FC693F" w:rsidRPr="0006063C" w:rsidSect="00034616">
      <w:pgSz w:w="12240" w:h="15840"/>
      <w:pgMar w:top="1152" w:right="1224" w:bottom="1152"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Theme="majorHAnsi" w:eastAsiaTheme="majorEastAsia" w:hAnsiTheme="majorHAnsi" w:cstheme="majorBidi" w:ascii="Calibri" w:hAnsi="Calibri"/>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40" w:after="80"/>
      <w:outlineLvl w:val="2"/>
    </w:pPr>
    <w:rPr>
      <w:rFonts w:asciiTheme="majorHAnsi" w:eastAsiaTheme="majorEastAsia" w:hAnsiTheme="majorHAnsi" w:cstheme="majorBidi" w:ascii="Calibri" w:hAnsi="Calibri"/>
      <w:b/>
      <w:bCs/>
      <w:color w:val="40404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Bibelanalyse: Grundlagendokument der Kapitel</dc:title>
  <dc:subject>Kapitel-Ausarbeitung mit Quellen</dc:subject>
  <dc:creator>Codex fuer Cliff</dc:creator>
  <cp:keywords/>
  <dc:description>generated by python-docx</dc:description>
  <cp:lastModifiedBy/>
  <cp:revision>1</cp:revision>
  <dcterms:created xsi:type="dcterms:W3CDTF">2013-12-23T23:15:00Z</dcterms:created>
  <dcterms:modified xsi:type="dcterms:W3CDTF">2013-12-23T23:15:00Z</dcterms:modified>
  <cp:category/>
</cp:coreProperties>
</file>