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color w:val="000000"/>
          <w:sz w:val="48"/>
        </w:rPr>
        <w:t>Prüfung: Wissenschaftlicher Forschungsstand und Machbarkeit</w:t>
      </w:r>
    </w:p>
    <w:p>
      <w:pPr>
        <w:jc w:val="center"/>
      </w:pPr>
      <w:r>
        <w:rPr>
          <w:i/>
        </w:rPr>
        <w:t>Bibelanalyse: JHWH, El, göttlicher Rat, Monotheismus, Anunnaki-Vergleich, Aschera und Second-Temple-Umdeutung</w:t>
      </w:r>
    </w:p>
    <w:p>
      <w:pPr>
        <w:pStyle w:val="Heading1"/>
      </w:pPr>
      <w:r>
        <w:t>1. Kurzurteil</w:t>
      </w:r>
    </w:p>
    <w:p>
      <w:r>
        <w:rPr>
          <w:rFonts w:ascii="Arial" w:hAnsi="Arial"/>
        </w:rPr>
        <w:t>Ja, zu diesem Themenfeld gibt es bereits umfangreiche wissenschaftliche Literatur. Besonders gut bearbeitet sind: die Entwicklung JHWHs aus dem westsemitisch-kanaanäischen Religionsraum, El/JHWH, Baal- und Aschera-Bezüge, Ugarit und der göttliche Rat, die Entstehung israelitischer Monolatrie/Monotheismus sowie Second-Temple-Angelologie und Dämonologie.</w:t>
      </w:r>
    </w:p>
    <w:p>
      <w:r>
        <w:rPr>
          <w:rFonts w:ascii="Arial" w:hAnsi="Arial"/>
        </w:rPr>
        <w:t>Eine eigene seriöse wissenschaftliche Ausarbeitung ist trotzdem möglich. Sie wäre aber nicht seriös, wenn sie behauptet, diese Grundthese erstmals entdeckt zu haben. Seriös wäre sie als deutschsprachige, quellenkritische Synthese mit klarer Methodik, eigener Matrix, sauberer Trennung von Befund und Deutung und kritischer Prüfung spekulativer Gleichsetzungen wie Anunnaki = Elohim.</w:t>
      </w:r>
    </w:p>
    <w:p>
      <w:pPr>
        <w:pStyle w:val="Heading1"/>
      </w:pPr>
      <w:r>
        <w:t>2. Gibt es bereits wissenschaftliche Arbeiten dazu?</w:t>
      </w:r>
    </w:p>
    <w:tbl>
      <w:tblPr>
        <w:tblStyle w:val="TableGrid"/>
        <w:tblW w:type="auto" w:w="0"/>
        <w:jc w:val="left"/>
        <w:tblLook w:firstColumn="1" w:firstRow="1" w:lastColumn="0" w:lastRow="0" w:noHBand="0" w:noVBand="1" w:val="04A0"/>
      </w:tblPr>
      <w:tblGrid>
        <w:gridCol w:w="3120"/>
        <w:gridCol w:w="3120"/>
        <w:gridCol w:w="3120"/>
      </w:tblGrid>
      <w:tr>
        <w:tc>
          <w:tcPr>
            <w:tcW w:type="dxa" w:w="3120"/>
            <w:vAlign w:val="top"/>
            <w:shd w:fill="F1F3F4"/>
          </w:tcPr>
          <w:p>
            <w:r/>
            <w:r>
              <w:rPr>
                <w:rFonts w:ascii="Arial" w:hAnsi="Arial"/>
                <w:b/>
                <w:sz w:val="16"/>
              </w:rPr>
              <w:t>Bereich</w:t>
            </w:r>
          </w:p>
        </w:tc>
        <w:tc>
          <w:tcPr>
            <w:tcW w:type="dxa" w:w="3120"/>
            <w:vAlign w:val="top"/>
            <w:shd w:fill="F1F3F4"/>
          </w:tcPr>
          <w:p>
            <w:r/>
            <w:r>
              <w:rPr>
                <w:rFonts w:ascii="Arial" w:hAnsi="Arial"/>
                <w:b/>
                <w:sz w:val="16"/>
              </w:rPr>
              <w:t>Vorhandene Forschung</w:t>
            </w:r>
          </w:p>
        </w:tc>
        <w:tc>
          <w:tcPr>
            <w:tcW w:type="dxa" w:w="3120"/>
            <w:vAlign w:val="top"/>
            <w:shd w:fill="F1F3F4"/>
          </w:tcPr>
          <w:p>
            <w:r/>
            <w:r>
              <w:rPr>
                <w:rFonts w:ascii="Arial" w:hAnsi="Arial"/>
                <w:b/>
                <w:sz w:val="16"/>
              </w:rPr>
              <w:t>Konsequenz für unser Projekt</w:t>
            </w:r>
          </w:p>
        </w:tc>
      </w:tr>
      <w:tr>
        <w:tc>
          <w:tcPr>
            <w:tcW w:type="dxa" w:w="3120"/>
            <w:vAlign w:val="top"/>
          </w:tcPr>
          <w:p>
            <w:r/>
            <w:r>
              <w:rPr>
                <w:rFonts w:ascii="Arial" w:hAnsi="Arial"/>
                <w:b w:val="0"/>
                <w:sz w:val="16"/>
              </w:rPr>
              <w:t>JHWH, El, Baal, Aschera</w:t>
            </w:r>
          </w:p>
        </w:tc>
        <w:tc>
          <w:tcPr>
            <w:tcW w:type="dxa" w:w="3120"/>
            <w:vAlign w:val="top"/>
          </w:tcPr>
          <w:p>
            <w:r/>
            <w:r>
              <w:rPr>
                <w:rFonts w:ascii="Arial" w:hAnsi="Arial"/>
                <w:b w:val="0"/>
                <w:sz w:val="16"/>
              </w:rPr>
              <w:t>Mark S. Smith und John Day behandeln genau die Aufnahme/Zurückweisung kanaanäischer Gottheiten und Motive in der JHWH-Religion.</w:t>
            </w:r>
          </w:p>
        </w:tc>
        <w:tc>
          <w:tcPr>
            <w:tcW w:type="dxa" w:w="3120"/>
            <w:vAlign w:val="top"/>
          </w:tcPr>
          <w:p>
            <w:r/>
            <w:r>
              <w:rPr>
                <w:rFonts w:ascii="Arial" w:hAnsi="Arial"/>
                <w:b w:val="0"/>
                <w:sz w:val="16"/>
              </w:rPr>
              <w:t>Wir müssen diese Werke als Grundlagenliteratur verwenden und dürfen ihre Kernergebnisse nicht als eigene Neuentdeckung darstellen.</w:t>
            </w:r>
          </w:p>
        </w:tc>
      </w:tr>
      <w:tr>
        <w:tc>
          <w:tcPr>
            <w:tcW w:type="dxa" w:w="3120"/>
            <w:vAlign w:val="top"/>
          </w:tcPr>
          <w:p>
            <w:r/>
            <w:r>
              <w:rPr>
                <w:rFonts w:ascii="Arial" w:hAnsi="Arial"/>
                <w:b w:val="0"/>
                <w:sz w:val="16"/>
              </w:rPr>
              <w:t>Göttlicher Rat und Ugarit</w:t>
            </w:r>
          </w:p>
        </w:tc>
        <w:tc>
          <w:tcPr>
            <w:tcW w:type="dxa" w:w="3120"/>
            <w:vAlign w:val="top"/>
          </w:tcPr>
          <w:p>
            <w:r/>
            <w:r>
              <w:rPr>
                <w:rFonts w:ascii="Arial" w:hAnsi="Arial"/>
                <w:b w:val="0"/>
                <w:sz w:val="16"/>
              </w:rPr>
              <w:t>Smith, Heiser, White und weitere Arbeiten behandeln göttlichen Rat, Ugarit, Dtn 32, Psalm 82 und Council-Szenen.</w:t>
            </w:r>
          </w:p>
        </w:tc>
        <w:tc>
          <w:tcPr>
            <w:tcW w:type="dxa" w:w="3120"/>
            <w:vAlign w:val="top"/>
          </w:tcPr>
          <w:p>
            <w:r/>
            <w:r>
              <w:rPr>
                <w:rFonts w:ascii="Arial" w:hAnsi="Arial"/>
                <w:b w:val="0"/>
                <w:sz w:val="16"/>
              </w:rPr>
              <w:t>Unser Beitrag kann die Quellen in einem konsistenten Stufenmodell neu ordnen.</w:t>
            </w:r>
          </w:p>
        </w:tc>
      </w:tr>
      <w:tr>
        <w:tc>
          <w:tcPr>
            <w:tcW w:type="dxa" w:w="3120"/>
            <w:vAlign w:val="top"/>
          </w:tcPr>
          <w:p>
            <w:r/>
            <w:r>
              <w:rPr>
                <w:rFonts w:ascii="Arial" w:hAnsi="Arial"/>
                <w:b w:val="0"/>
                <w:sz w:val="16"/>
              </w:rPr>
              <w:t>Ursprung des Yahwismus</w:t>
            </w:r>
          </w:p>
        </w:tc>
        <w:tc>
          <w:tcPr>
            <w:tcW w:type="dxa" w:w="3120"/>
            <w:vAlign w:val="top"/>
          </w:tcPr>
          <w:p>
            <w:r/>
            <w:r>
              <w:rPr>
                <w:rFonts w:ascii="Arial" w:hAnsi="Arial"/>
                <w:b w:val="0"/>
                <w:sz w:val="16"/>
              </w:rPr>
              <w:t>Der Sammelband The Origins of Yahwism bündelt neuere Fachbeiträge zu YHWHs Herkunft und frühesten Spuren.</w:t>
            </w:r>
          </w:p>
        </w:tc>
        <w:tc>
          <w:tcPr>
            <w:tcW w:type="dxa" w:w="3120"/>
            <w:vAlign w:val="top"/>
          </w:tcPr>
          <w:p>
            <w:r/>
            <w:r>
              <w:rPr>
                <w:rFonts w:ascii="Arial" w:hAnsi="Arial"/>
                <w:b w:val="0"/>
                <w:sz w:val="16"/>
              </w:rPr>
              <w:t>Die südliche JHWH-Hypothese muss als Forschungsdebatte, nicht als gesicherter Befund formuliert werden.</w:t>
            </w:r>
          </w:p>
        </w:tc>
      </w:tr>
      <w:tr>
        <w:tc>
          <w:tcPr>
            <w:tcW w:type="dxa" w:w="3120"/>
            <w:vAlign w:val="top"/>
          </w:tcPr>
          <w:p>
            <w:r/>
            <w:r>
              <w:rPr>
                <w:rFonts w:ascii="Arial" w:hAnsi="Arial"/>
                <w:b w:val="0"/>
                <w:sz w:val="16"/>
              </w:rPr>
              <w:t>Aschera</w:t>
            </w:r>
          </w:p>
        </w:tc>
        <w:tc>
          <w:tcPr>
            <w:tcW w:type="dxa" w:w="3120"/>
            <w:vAlign w:val="top"/>
          </w:tcPr>
          <w:p>
            <w:r/>
            <w:r>
              <w:rPr>
                <w:rFonts w:ascii="Arial" w:hAnsi="Arial"/>
                <w:b w:val="0"/>
                <w:sz w:val="16"/>
              </w:rPr>
              <w:t>Pettey, Smoak/Schniedewind, Kim und andere behandeln Aschera als Göttin/Kultsymbol/Hypostase und Volksreligion.</w:t>
            </w:r>
          </w:p>
        </w:tc>
        <w:tc>
          <w:tcPr>
            <w:tcW w:type="dxa" w:w="3120"/>
            <w:vAlign w:val="top"/>
          </w:tcPr>
          <w:p>
            <w:r/>
            <w:r>
              <w:rPr>
                <w:rFonts w:ascii="Arial" w:hAnsi="Arial"/>
                <w:b w:val="0"/>
                <w:sz w:val="16"/>
              </w:rPr>
              <w:t>Unser Aschera-Dossier muss Streitstand und Gegenpositionen explizit enthalten.</w:t>
            </w:r>
          </w:p>
        </w:tc>
      </w:tr>
      <w:tr>
        <w:tc>
          <w:tcPr>
            <w:tcW w:type="dxa" w:w="3120"/>
            <w:vAlign w:val="top"/>
          </w:tcPr>
          <w:p>
            <w:r/>
            <w:r>
              <w:rPr>
                <w:rFonts w:ascii="Arial" w:hAnsi="Arial"/>
                <w:b w:val="0"/>
                <w:sz w:val="16"/>
              </w:rPr>
              <w:t>Familien- und Volksreligion</w:t>
            </w:r>
          </w:p>
        </w:tc>
        <w:tc>
          <w:tcPr>
            <w:tcW w:type="dxa" w:w="3120"/>
            <w:vAlign w:val="top"/>
          </w:tcPr>
          <w:p>
            <w:r/>
            <w:r>
              <w:rPr>
                <w:rFonts w:ascii="Arial" w:hAnsi="Arial"/>
                <w:b w:val="0"/>
                <w:sz w:val="16"/>
              </w:rPr>
              <w:t>van der Toorn behandelt Familienreligion, Ahnenkult, lokale Götter und Spannung zwischen Privat- und Staatsreligion.</w:t>
            </w:r>
          </w:p>
        </w:tc>
        <w:tc>
          <w:tcPr>
            <w:tcW w:type="dxa" w:w="3120"/>
            <w:vAlign w:val="top"/>
          </w:tcPr>
          <w:p>
            <w:r/>
            <w:r>
              <w:rPr>
                <w:rFonts w:ascii="Arial" w:hAnsi="Arial"/>
                <w:b w:val="0"/>
                <w:sz w:val="16"/>
              </w:rPr>
              <w:t>Unsere Vorstufe kann dadurch wissenschaftlich stärker fundiert werden.</w:t>
            </w:r>
          </w:p>
        </w:tc>
      </w:tr>
      <w:tr>
        <w:tc>
          <w:tcPr>
            <w:tcW w:type="dxa" w:w="3120"/>
            <w:vAlign w:val="top"/>
          </w:tcPr>
          <w:p>
            <w:r/>
            <w:r>
              <w:rPr>
                <w:rFonts w:ascii="Arial" w:hAnsi="Arial"/>
                <w:b w:val="0"/>
                <w:sz w:val="16"/>
              </w:rPr>
              <w:t>Second Temple: Engel/Wächter/Dämonen</w:t>
            </w:r>
          </w:p>
        </w:tc>
        <w:tc>
          <w:tcPr>
            <w:tcW w:type="dxa" w:w="3120"/>
            <w:vAlign w:val="top"/>
          </w:tcPr>
          <w:p>
            <w:r/>
            <w:r>
              <w:rPr>
                <w:rFonts w:ascii="Arial" w:hAnsi="Arial"/>
                <w:b w:val="0"/>
                <w:sz w:val="16"/>
              </w:rPr>
              <w:t>Heiser, van Ruiten, Reynolds und andere behandeln Fortleben/Umdeutung göttlicher Pluralität.</w:t>
            </w:r>
          </w:p>
        </w:tc>
        <w:tc>
          <w:tcPr>
            <w:tcW w:type="dxa" w:w="3120"/>
            <w:vAlign w:val="top"/>
          </w:tcPr>
          <w:p>
            <w:r/>
            <w:r>
              <w:rPr>
                <w:rFonts w:ascii="Arial" w:hAnsi="Arial"/>
                <w:b w:val="0"/>
                <w:sz w:val="16"/>
              </w:rPr>
              <w:t>Erzengel und Wächter gehören methodisch in die spätere Phase, nicht in frühes Israel.</w:t>
            </w:r>
          </w:p>
        </w:tc>
      </w:tr>
      <w:tr>
        <w:tc>
          <w:tcPr>
            <w:tcW w:type="dxa" w:w="3120"/>
            <w:vAlign w:val="top"/>
          </w:tcPr>
          <w:p>
            <w:r/>
            <w:r>
              <w:rPr>
                <w:rFonts w:ascii="Arial" w:hAnsi="Arial"/>
                <w:b w:val="0"/>
                <w:sz w:val="16"/>
              </w:rPr>
              <w:t>Anunnaki</w:t>
            </w:r>
          </w:p>
        </w:tc>
        <w:tc>
          <w:tcPr>
            <w:tcW w:type="dxa" w:w="3120"/>
            <w:vAlign w:val="top"/>
          </w:tcPr>
          <w:p>
            <w:r/>
            <w:r>
              <w:rPr>
                <w:rFonts w:ascii="Arial" w:hAnsi="Arial"/>
                <w:b w:val="0"/>
                <w:sz w:val="16"/>
              </w:rPr>
              <w:t>Assyriologische Grundlagen behandeln Anunna/Anunnaki als mesopotamische Göttergruppen.</w:t>
            </w:r>
          </w:p>
        </w:tc>
        <w:tc>
          <w:tcPr>
            <w:tcW w:type="dxa" w:w="3120"/>
            <w:vAlign w:val="top"/>
          </w:tcPr>
          <w:p>
            <w:r/>
            <w:r>
              <w:rPr>
                <w:rFonts w:ascii="Arial" w:hAnsi="Arial"/>
                <w:b w:val="0"/>
                <w:sz w:val="16"/>
              </w:rPr>
              <w:t>Anunnaki sind Vergleichs-/Einflussfeld, nicht direkte Identitätsthese.</w:t>
            </w:r>
          </w:p>
        </w:tc>
      </w:tr>
    </w:tbl>
    <w:p>
      <w:pPr>
        <w:pStyle w:val="Heading1"/>
      </w:pPr>
      <w:r>
        <w:t>3. Ist das Thema komplex genug für eine wissenschaftliche Arbeit?</w:t>
      </w:r>
    </w:p>
    <w:p>
      <w:r>
        <w:rPr>
          <w:rFonts w:ascii="Arial" w:hAnsi="Arial"/>
        </w:rPr>
        <w:t>Ja. Das Thema ist komplex genug für eine wissenschaftliche Arbeit, weil es mehrere Fachbereiche verbindet: Altes Testament/Hebräische Bibel, Altorientalistik, Religionsgeschichte Israels, Archäologie/Epigraphik, Textkritik, Ugaritistik, Second-Temple-Judentum und Wissenschaftstheorie.</w:t>
      </w:r>
    </w:p>
    <w:p>
      <w:r>
        <w:rPr>
          <w:rFonts w:ascii="Arial" w:hAnsi="Arial"/>
        </w:rPr>
        <w:t>Der Umfang muss aber begrenzt werden. Das gesamte Feld 'alle Gottheiten durch alle Religionen' wäre für eine seriöse Arbeit zu breit. Tragfähig wäre eine fokussierte Leitfrage.</w:t>
      </w:r>
    </w:p>
    <w:p>
      <w:r>
        <w:rPr>
          <w:rFonts w:ascii="Arial" w:hAnsi="Arial"/>
        </w:rPr>
        <w:t>Empfohlene Leitfrage:</w:t>
      </w:r>
    </w:p>
    <w:p>
      <w:r>
        <w:rPr>
          <w:rFonts w:ascii="Arial" w:hAnsi="Arial"/>
        </w:rPr>
        <w:t>Wie lässt sich der Übergang vom westsemitisch-kanaanäischen göttlichen Rat zur exklusiven JHWH-Verehrung und späteren monotheistischen Deutung in Israel/Juda rekonstruieren, wenn biblische Texte, Ugarit, Kuntillet Ajrud/Khirbet el-Qom, DSS, 1 Henoch und Jubiläen gemeinsam ausgewertet werden?</w:t>
      </w:r>
    </w:p>
    <w:p>
      <w:pPr>
        <w:pStyle w:val="Heading1"/>
      </w:pPr>
      <w:r>
        <w:t>4. Wissenschaftlicher Neuigkeitswert</w:t>
      </w:r>
    </w:p>
    <w:tbl>
      <w:tblPr>
        <w:tblStyle w:val="TableGrid"/>
        <w:tblW w:type="auto" w:w="0"/>
        <w:jc w:val="left"/>
        <w:tblLook w:firstColumn="1" w:firstRow="1" w:lastColumn="0" w:lastRow="0" w:noHBand="0" w:noVBand="1" w:val="04A0"/>
      </w:tblPr>
      <w:tblGrid>
        <w:gridCol w:w="4680"/>
        <w:gridCol w:w="4680"/>
      </w:tblGrid>
      <w:tr>
        <w:tc>
          <w:tcPr>
            <w:tcW w:type="dxa" w:w="4680"/>
            <w:vAlign w:val="top"/>
            <w:shd w:fill="F1F3F4"/>
          </w:tcPr>
          <w:p>
            <w:r/>
            <w:r>
              <w:rPr>
                <w:rFonts w:ascii="Arial" w:hAnsi="Arial"/>
                <w:b/>
                <w:sz w:val="16"/>
              </w:rPr>
              <w:t>Ebene</w:t>
            </w:r>
          </w:p>
        </w:tc>
        <w:tc>
          <w:tcPr>
            <w:tcW w:type="dxa" w:w="4680"/>
            <w:vAlign w:val="top"/>
            <w:shd w:fill="F1F3F4"/>
          </w:tcPr>
          <w:p>
            <w:r/>
            <w:r>
              <w:rPr>
                <w:rFonts w:ascii="Arial" w:hAnsi="Arial"/>
                <w:b/>
                <w:sz w:val="16"/>
              </w:rPr>
              <w:t>Bewertung</w:t>
            </w:r>
          </w:p>
        </w:tc>
      </w:tr>
      <w:tr>
        <w:tc>
          <w:tcPr>
            <w:tcW w:type="dxa" w:w="4680"/>
            <w:vAlign w:val="top"/>
          </w:tcPr>
          <w:p>
            <w:r/>
            <w:r>
              <w:rPr>
                <w:rFonts w:ascii="Arial" w:hAnsi="Arial"/>
                <w:b w:val="0"/>
                <w:sz w:val="16"/>
              </w:rPr>
              <w:t>Nicht neu</w:t>
            </w:r>
          </w:p>
        </w:tc>
        <w:tc>
          <w:tcPr>
            <w:tcW w:type="dxa" w:w="4680"/>
            <w:vAlign w:val="top"/>
          </w:tcPr>
          <w:p>
            <w:r/>
            <w:r>
              <w:rPr>
                <w:rFonts w:ascii="Arial" w:hAnsi="Arial"/>
                <w:b w:val="0"/>
                <w:sz w:val="16"/>
              </w:rPr>
              <w:t>Dass Israel/Juda nicht von Anfang an abstrakt monotheistisch war; dass JHWH El/Baal/Aschera-Bezüge aufweist; dass Ugarit relevant ist; dass Dtn 32/Ps 82 göttliche Mehrwesenheit zeigen.</w:t>
            </w:r>
          </w:p>
        </w:tc>
      </w:tr>
      <w:tr>
        <w:tc>
          <w:tcPr>
            <w:tcW w:type="dxa" w:w="4680"/>
            <w:vAlign w:val="top"/>
          </w:tcPr>
          <w:p>
            <w:r/>
            <w:r>
              <w:rPr>
                <w:rFonts w:ascii="Arial" w:hAnsi="Arial"/>
                <w:b w:val="0"/>
                <w:sz w:val="16"/>
              </w:rPr>
              <w:t>Möglich eigenständig</w:t>
            </w:r>
          </w:p>
        </w:tc>
        <w:tc>
          <w:tcPr>
            <w:tcW w:type="dxa" w:w="4680"/>
            <w:vAlign w:val="top"/>
          </w:tcPr>
          <w:p>
            <w:r/>
            <w:r>
              <w:rPr>
                <w:rFonts w:ascii="Arial" w:hAnsi="Arial"/>
                <w:b w:val="0"/>
                <w:sz w:val="16"/>
              </w:rPr>
              <w:t>Die systematische deutschsprachige Synthese als Fünf-Stufen-Modell mit Vorstufe, Dossierstruktur, Quellenmatrix und Trennung von Identität/Funktionsübernahme/Umdeutung.</w:t>
            </w:r>
          </w:p>
        </w:tc>
      </w:tr>
      <w:tr>
        <w:tc>
          <w:tcPr>
            <w:tcW w:type="dxa" w:w="4680"/>
            <w:vAlign w:val="top"/>
          </w:tcPr>
          <w:p>
            <w:r/>
            <w:r>
              <w:rPr>
                <w:rFonts w:ascii="Arial" w:hAnsi="Arial"/>
                <w:b w:val="0"/>
                <w:sz w:val="16"/>
              </w:rPr>
              <w:t>Wissenschaftlich riskant</w:t>
            </w:r>
          </w:p>
        </w:tc>
        <w:tc>
          <w:tcPr>
            <w:tcW w:type="dxa" w:w="4680"/>
            <w:vAlign w:val="top"/>
          </w:tcPr>
          <w:p>
            <w:r/>
            <w:r>
              <w:rPr>
                <w:rFonts w:ascii="Arial" w:hAnsi="Arial"/>
                <w:b w:val="0"/>
                <w:sz w:val="16"/>
              </w:rPr>
              <w:t>Direkte Gleichsetzung JHWH = Baal = Marduk = Anunnaki = Elohim. Das ist in dieser Form nicht belegbar und würde die Seriosität stark schwächen.</w:t>
            </w:r>
          </w:p>
        </w:tc>
      </w:tr>
      <w:tr>
        <w:tc>
          <w:tcPr>
            <w:tcW w:type="dxa" w:w="4680"/>
            <w:vAlign w:val="top"/>
          </w:tcPr>
          <w:p>
            <w:r/>
            <w:r>
              <w:rPr>
                <w:rFonts w:ascii="Arial" w:hAnsi="Arial"/>
                <w:b w:val="0"/>
                <w:sz w:val="16"/>
              </w:rPr>
              <w:t>Publikationsfähiger Ansatz</w:t>
            </w:r>
          </w:p>
        </w:tc>
        <w:tc>
          <w:tcPr>
            <w:tcW w:type="dxa" w:w="4680"/>
            <w:vAlign w:val="top"/>
          </w:tcPr>
          <w:p>
            <w:r/>
            <w:r>
              <w:rPr>
                <w:rFonts w:ascii="Arial" w:hAnsi="Arial"/>
                <w:b w:val="0"/>
                <w:sz w:val="16"/>
              </w:rPr>
              <w:t>Eine kritisch formulierte Arbeit: JHWH als Integrationszentrum westsemitischer Hochgott-, Sturm-, Schutz- und Herrschaftsmotive, mit späterer Umklassifizierung göttlicher Wesen.</w:t>
            </w:r>
          </w:p>
        </w:tc>
      </w:tr>
    </w:tbl>
    <w:p>
      <w:pPr>
        <w:pStyle w:val="Heading1"/>
      </w:pPr>
      <w:r>
        <w:t>5. Kriterien für eine seriöse wissenschaftliche Ausarbeitung</w:t>
      </w:r>
    </w:p>
    <w:p>
      <w:pPr>
        <w:pStyle w:val="ListNumber"/>
      </w:pPr>
      <w:r>
        <w:rPr>
          <w:rFonts w:ascii="Arial" w:hAnsi="Arial"/>
        </w:rPr>
        <w:t>Klare Forschungsfrage und begrenzter Untersuchungszeitraum.</w:t>
      </w:r>
    </w:p>
    <w:p>
      <w:pPr>
        <w:pStyle w:val="ListNumber"/>
      </w:pPr>
      <w:r>
        <w:rPr>
          <w:rFonts w:ascii="Arial" w:hAnsi="Arial"/>
        </w:rPr>
        <w:t>Trennung von Primärquellen, Sekundärliteratur, eigener Hypothese und spekulativer Möglichkeit.</w:t>
      </w:r>
    </w:p>
    <w:p>
      <w:pPr>
        <w:pStyle w:val="ListNumber"/>
      </w:pPr>
      <w:r>
        <w:rPr>
          <w:rFonts w:ascii="Arial" w:hAnsi="Arial"/>
        </w:rPr>
        <w:t>Textkritische Behandlung zentraler Bibelstellen: Dtn 32,8-9; Ps 82; Gen 6; 1 Kön 22; Jes 40-55; Daniel.</w:t>
      </w:r>
    </w:p>
    <w:p>
      <w:pPr>
        <w:pStyle w:val="ListNumber"/>
      </w:pPr>
      <w:r>
        <w:rPr>
          <w:rFonts w:ascii="Arial" w:hAnsi="Arial"/>
        </w:rPr>
        <w:t>Einbeziehung außerbiblischer Quellen: Ugarit, Kuntillet Ajrud, Khirbet el-Qom, DSS, 1 Henoch, Jubiläen.</w:t>
      </w:r>
    </w:p>
    <w:p>
      <w:pPr>
        <w:pStyle w:val="ListNumber"/>
      </w:pPr>
      <w:r>
        <w:rPr>
          <w:rFonts w:ascii="Arial" w:hAnsi="Arial"/>
        </w:rPr>
        <w:t>Begriffsklärung: Polytheismus, Monolatrie, Henotheismus, Monotheismus, Elohim, Anunnaki, Engel, Dämonen.</w:t>
      </w:r>
    </w:p>
    <w:p>
      <w:pPr>
        <w:pStyle w:val="ListNumber"/>
      </w:pPr>
      <w:r>
        <w:rPr>
          <w:rFonts w:ascii="Arial" w:hAnsi="Arial"/>
        </w:rPr>
        <w:t>Quellenhierarchie: direkte Belege stärker gewichten als spätere Deutungen oder moderne Videos.</w:t>
      </w:r>
    </w:p>
    <w:p>
      <w:pPr>
        <w:pStyle w:val="ListNumber"/>
      </w:pPr>
      <w:r>
        <w:rPr>
          <w:rFonts w:ascii="Arial" w:hAnsi="Arial"/>
        </w:rPr>
        <w:t>Keine Überbehauptung: 'plausibel' und 'strittig' müssen als solche markiert bleiben.</w:t>
      </w:r>
    </w:p>
    <w:p>
      <w:pPr>
        <w:pStyle w:val="ListNumber"/>
      </w:pPr>
      <w:r>
        <w:rPr>
          <w:rFonts w:ascii="Arial" w:hAnsi="Arial"/>
        </w:rPr>
        <w:t>Wissenschaftlicher Zitierstil, Bibliographie, Fußnoten und Forschungsstandskapitel.</w:t>
      </w:r>
    </w:p>
    <w:p>
      <w:pPr>
        <w:pStyle w:val="ListNumber"/>
      </w:pPr>
      <w:r>
        <w:rPr>
          <w:rFonts w:ascii="Arial" w:hAnsi="Arial"/>
        </w:rPr>
        <w:t>Gegenpositionen einarbeiten, insbesondere konservativere oder anders gewichtende Modelle.</w:t>
      </w:r>
    </w:p>
    <w:p>
      <w:pPr>
        <w:pStyle w:val="Heading1"/>
      </w:pPr>
      <w:r>
        <w:t>6. Mögliche wissenschaftliche Formate</w:t>
      </w:r>
    </w:p>
    <w:tbl>
      <w:tblPr>
        <w:tblStyle w:val="TableGrid"/>
        <w:tblW w:type="auto" w:w="0"/>
        <w:jc w:val="left"/>
        <w:tblLook w:firstColumn="1" w:firstRow="1" w:lastColumn="0" w:lastRow="0" w:noHBand="0" w:noVBand="1" w:val="04A0"/>
      </w:tblPr>
      <w:tblGrid>
        <w:gridCol w:w="4680"/>
        <w:gridCol w:w="4680"/>
      </w:tblGrid>
      <w:tr>
        <w:tc>
          <w:tcPr>
            <w:tcW w:type="dxa" w:w="4680"/>
            <w:vAlign w:val="top"/>
            <w:shd w:fill="F1F3F4"/>
          </w:tcPr>
          <w:p>
            <w:r/>
            <w:r>
              <w:rPr>
                <w:rFonts w:ascii="Arial" w:hAnsi="Arial"/>
                <w:b/>
                <w:sz w:val="16"/>
              </w:rPr>
              <w:t>Format</w:t>
            </w:r>
          </w:p>
        </w:tc>
        <w:tc>
          <w:tcPr>
            <w:tcW w:type="dxa" w:w="4680"/>
            <w:vAlign w:val="top"/>
            <w:shd w:fill="F1F3F4"/>
          </w:tcPr>
          <w:p>
            <w:r/>
            <w:r>
              <w:rPr>
                <w:rFonts w:ascii="Arial" w:hAnsi="Arial"/>
                <w:b/>
                <w:sz w:val="16"/>
              </w:rPr>
              <w:t>Realistische Ausrichtung</w:t>
            </w:r>
          </w:p>
        </w:tc>
      </w:tr>
      <w:tr>
        <w:tc>
          <w:tcPr>
            <w:tcW w:type="dxa" w:w="4680"/>
            <w:vAlign w:val="top"/>
          </w:tcPr>
          <w:p>
            <w:r/>
            <w:r>
              <w:rPr>
                <w:rFonts w:ascii="Arial" w:hAnsi="Arial"/>
                <w:b w:val="0"/>
                <w:sz w:val="16"/>
              </w:rPr>
              <w:t>Essay / Fachaufsatz</w:t>
            </w:r>
          </w:p>
        </w:tc>
        <w:tc>
          <w:tcPr>
            <w:tcW w:type="dxa" w:w="4680"/>
            <w:vAlign w:val="top"/>
          </w:tcPr>
          <w:p>
            <w:r/>
            <w:r>
              <w:rPr>
                <w:rFonts w:ascii="Arial" w:hAnsi="Arial"/>
                <w:b w:val="0"/>
                <w:sz w:val="16"/>
              </w:rPr>
              <w:t>Ein fokussierter Beitrag zum Fünf-Stufen-Modell und methodischer Trennung von Identität/Funktionsübernahme.</w:t>
            </w:r>
          </w:p>
        </w:tc>
      </w:tr>
      <w:tr>
        <w:tc>
          <w:tcPr>
            <w:tcW w:type="dxa" w:w="4680"/>
            <w:vAlign w:val="top"/>
          </w:tcPr>
          <w:p>
            <w:r/>
            <w:r>
              <w:rPr>
                <w:rFonts w:ascii="Arial" w:hAnsi="Arial"/>
                <w:b w:val="0"/>
                <w:sz w:val="16"/>
              </w:rPr>
              <w:t>Hausarbeit / Seminararbeit</w:t>
            </w:r>
          </w:p>
        </w:tc>
        <w:tc>
          <w:tcPr>
            <w:tcW w:type="dxa" w:w="4680"/>
            <w:vAlign w:val="top"/>
          </w:tcPr>
          <w:p>
            <w:r/>
            <w:r>
              <w:rPr>
                <w:rFonts w:ascii="Arial" w:hAnsi="Arial"/>
                <w:b w:val="0"/>
                <w:sz w:val="16"/>
              </w:rPr>
              <w:t>Gut machbar mit 20-40 Seiten, wenn die Leitfrage eng bleibt.</w:t>
            </w:r>
          </w:p>
        </w:tc>
      </w:tr>
      <w:tr>
        <w:tc>
          <w:tcPr>
            <w:tcW w:type="dxa" w:w="4680"/>
            <w:vAlign w:val="top"/>
          </w:tcPr>
          <w:p>
            <w:r/>
            <w:r>
              <w:rPr>
                <w:rFonts w:ascii="Arial" w:hAnsi="Arial"/>
                <w:b w:val="0"/>
                <w:sz w:val="16"/>
              </w:rPr>
              <w:t>Bachelorarbeit</w:t>
            </w:r>
          </w:p>
        </w:tc>
        <w:tc>
          <w:tcPr>
            <w:tcW w:type="dxa" w:w="4680"/>
            <w:vAlign w:val="top"/>
          </w:tcPr>
          <w:p>
            <w:r/>
            <w:r>
              <w:rPr>
                <w:rFonts w:ascii="Arial" w:hAnsi="Arial"/>
                <w:b w:val="0"/>
                <w:sz w:val="16"/>
              </w:rPr>
              <w:t>Machbar mit Schwerpunkt Dtn 32/Ps 82/Ugarit/JHWH-El.</w:t>
            </w:r>
          </w:p>
        </w:tc>
      </w:tr>
      <w:tr>
        <w:tc>
          <w:tcPr>
            <w:tcW w:type="dxa" w:w="4680"/>
            <w:vAlign w:val="top"/>
          </w:tcPr>
          <w:p>
            <w:r/>
            <w:r>
              <w:rPr>
                <w:rFonts w:ascii="Arial" w:hAnsi="Arial"/>
                <w:b w:val="0"/>
                <w:sz w:val="16"/>
              </w:rPr>
              <w:t>Masterarbeit</w:t>
            </w:r>
          </w:p>
        </w:tc>
        <w:tc>
          <w:tcPr>
            <w:tcW w:type="dxa" w:w="4680"/>
            <w:vAlign w:val="top"/>
          </w:tcPr>
          <w:p>
            <w:r/>
            <w:r>
              <w:rPr>
                <w:rFonts w:ascii="Arial" w:hAnsi="Arial"/>
                <w:b w:val="0"/>
                <w:sz w:val="16"/>
              </w:rPr>
              <w:t>Machbar mit breiterem Korpus: Ugarit, Inschriften, DSS, 1 Henoch, Jubiläen und Forschungsstand.</w:t>
            </w:r>
          </w:p>
        </w:tc>
      </w:tr>
      <w:tr>
        <w:tc>
          <w:tcPr>
            <w:tcW w:type="dxa" w:w="4680"/>
            <w:vAlign w:val="top"/>
          </w:tcPr>
          <w:p>
            <w:r/>
            <w:r>
              <w:rPr>
                <w:rFonts w:ascii="Arial" w:hAnsi="Arial"/>
                <w:b w:val="0"/>
                <w:sz w:val="16"/>
              </w:rPr>
              <w:t>Dissertation</w:t>
            </w:r>
          </w:p>
        </w:tc>
        <w:tc>
          <w:tcPr>
            <w:tcW w:type="dxa" w:w="4680"/>
            <w:vAlign w:val="top"/>
          </w:tcPr>
          <w:p>
            <w:r/>
            <w:r>
              <w:rPr>
                <w:rFonts w:ascii="Arial" w:hAnsi="Arial"/>
                <w:b w:val="0"/>
                <w:sz w:val="16"/>
              </w:rPr>
              <w:t>Nur mit klarer Originalleistung: neues Korpus, neue methodische Matrix, neue textkritische oder epigraphische Auswertung. Als reine Synthese nicht ausreichend.</w:t>
            </w:r>
          </w:p>
        </w:tc>
      </w:tr>
      <w:tr>
        <w:tc>
          <w:tcPr>
            <w:tcW w:type="dxa" w:w="4680"/>
            <w:vAlign w:val="top"/>
          </w:tcPr>
          <w:p>
            <w:r/>
            <w:r>
              <w:rPr>
                <w:rFonts w:ascii="Arial" w:hAnsi="Arial"/>
                <w:b w:val="0"/>
                <w:sz w:val="16"/>
              </w:rPr>
              <w:t>Populärwissenschaftliches Buch</w:t>
            </w:r>
          </w:p>
        </w:tc>
        <w:tc>
          <w:tcPr>
            <w:tcW w:type="dxa" w:w="4680"/>
            <w:vAlign w:val="top"/>
          </w:tcPr>
          <w:p>
            <w:r/>
            <w:r>
              <w:rPr>
                <w:rFonts w:ascii="Arial" w:hAnsi="Arial"/>
                <w:b w:val="0"/>
                <w:sz w:val="16"/>
              </w:rPr>
              <w:t>Sehr gut möglich, wenn Quellenlage transparent bleibt und Spekulationen klar markiert werden.</w:t>
            </w:r>
          </w:p>
        </w:tc>
      </w:tr>
    </w:tbl>
    <w:p>
      <w:pPr>
        <w:pStyle w:val="Heading1"/>
      </w:pPr>
      <w:r>
        <w:t>7. Empfehlung für unser Projekt</w:t>
      </w:r>
    </w:p>
    <w:p>
      <w:r>
        <w:rPr>
          <w:rFonts w:ascii="Arial" w:hAnsi="Arial"/>
        </w:rPr>
        <w:t>Das Projekt sollte nicht als Beweis dafür aufgebaut werden, dass alle Gottheiten im Kern derselbe Gott sind. Diese These ist zu breit und quellenkritisch nicht haltbar. Wissenschaftlich tragfähiger ist folgende Formulierung:</w:t>
      </w:r>
    </w:p>
    <w:p>
      <w:r>
        <w:rPr>
          <w:rFonts w:ascii="Arial" w:hAnsi="Arial"/>
        </w:rPr>
        <w:t>Die JHWH-Religion Israels entstand in einem westsemitisch-kanaanäischen Religionsraum. JHWH wurde zum Identitäts- und Nationalgott Israels, nahm El-Titel und El-Funktionen auf, übernahm oder polemisierte Baal-/Sturmgott-Motive, stand in Spannung zu Aschera- und Volksreligionspraktiken und entwickelte sich über Monolatrie und Exklusivierung zur monotheistischen Deutung. Ältere göttliche Mehrwesenheit wurde später angelologisch, dämonologisch oder literarisch umklassifiziert. Mesopotamische Traditionen einschließlich Anunnaki sind als Vergleichs- und Einflussfeld relevant, aber nicht als direkte Identität von Elohim/JHWH belegbar.</w:t>
      </w:r>
    </w:p>
    <w:p>
      <w:r>
        <w:rPr>
          <w:rFonts w:ascii="Arial" w:hAnsi="Arial"/>
        </w:rPr>
        <w:t>Damit ist das Thema wissenschaftlich seriös bearbeitbar, wenn wir konsequent mit Belegstufen arbeiten.</w:t>
      </w:r>
    </w:p>
    <w:p>
      <w:pPr>
        <w:pStyle w:val="Heading1"/>
      </w:pPr>
      <w:r>
        <w:t>8. Nächste konkrete Schritte</w:t>
      </w:r>
    </w:p>
    <w:p>
      <w:pPr>
        <w:pStyle w:val="ListNumber"/>
      </w:pPr>
      <w:r>
        <w:rPr>
          <w:rFonts w:ascii="Arial" w:hAnsi="Arial"/>
        </w:rPr>
        <w:t>Ein Forschungsstandskapitel in das zentrale Hauptdokument einfügen.</w:t>
      </w:r>
    </w:p>
    <w:p>
      <w:pPr>
        <w:pStyle w:val="ListNumber"/>
      </w:pPr>
      <w:r>
        <w:rPr>
          <w:rFonts w:ascii="Arial" w:hAnsi="Arial"/>
        </w:rPr>
        <w:t>Die bisherige Thesenmatrix um eine Spalte 'Forschungsstand / Literaturanker' erweitern.</w:t>
      </w:r>
    </w:p>
    <w:p>
      <w:pPr>
        <w:pStyle w:val="ListNumber"/>
      </w:pPr>
      <w:r>
        <w:rPr>
          <w:rFonts w:ascii="Arial" w:hAnsi="Arial"/>
        </w:rPr>
        <w:t>Eine Bibliographie mit Primärquellen, Standardwerken und Spezialstudien aufbauen.</w:t>
      </w:r>
    </w:p>
    <w:p>
      <w:pPr>
        <w:pStyle w:val="ListNumber"/>
      </w:pPr>
      <w:r>
        <w:rPr>
          <w:rFonts w:ascii="Arial" w:hAnsi="Arial"/>
        </w:rPr>
        <w:t>Das Hauptdokument in eine wissenschaftliche Gliederung überführen: Einleitung, Forschungsstand, Methode, Quellenanalyse, Synthese, Bewertung.</w:t>
      </w:r>
    </w:p>
    <w:p>
      <w:pPr>
        <w:pStyle w:val="ListNumber"/>
      </w:pPr>
      <w:r>
        <w:rPr>
          <w:rFonts w:ascii="Arial" w:hAnsi="Arial"/>
        </w:rPr>
        <w:t>Spekulative Hypothesen in einen eigenen Abschnitt 'zu prüfende Hypothesen' auslagern.</w:t>
      </w:r>
    </w:p>
    <w:p>
      <w:pPr>
        <w:pStyle w:val="Heading1"/>
      </w:pPr>
      <w:r>
        <w:t>9. Literaturanker</w:t>
      </w:r>
    </w:p>
    <w:p>
      <w:r>
        <w:rPr>
          <w:rFonts w:ascii="Arial" w:hAnsi="Arial"/>
        </w:rPr>
        <w:t>Mark S. Smith: The Early History of God: Yahweh and the Other Deities in Ancient Israel. Eerdmans, 2. Aufl. 2002. https://www.eerdmans.com/9780802839725/the-early-history-of-god/</w:t>
      </w:r>
    </w:p>
    <w:p>
      <w:r>
        <w:rPr>
          <w:rFonts w:ascii="Arial" w:hAnsi="Arial"/>
        </w:rPr>
        <w:t>Mark S. Smith: The Origins of Biblical Monotheism: Israel's Polytheistic Background and the Ugaritic Texts. Oxford University Press, 2001. https://academic.oup.com/book/12858</w:t>
      </w:r>
    </w:p>
    <w:p>
      <w:r>
        <w:rPr>
          <w:rFonts w:ascii="Arial" w:hAnsi="Arial"/>
        </w:rPr>
        <w:t>John Day: Yahweh and the Gods and Goddesses of Canaan. Sheffield Academic Press / Bloomsbury, 2002. https://www.bloomsbury.com/us/yahweh-and-the-gods-and-goddesses-of-canaan-9780826468307/</w:t>
      </w:r>
    </w:p>
    <w:p>
      <w:r>
        <w:rPr>
          <w:rFonts w:ascii="Arial" w:hAnsi="Arial"/>
        </w:rPr>
        <w:t>J. van Oorschot / M. Witte (Hg.): The Origins of Yahwism. De Gruyter, 2017. https://www.degruyterbrill.com/document/doi/10.1515/9783110448221/html?lang=en</w:t>
      </w:r>
    </w:p>
    <w:p>
      <w:r>
        <w:rPr>
          <w:rFonts w:ascii="Arial" w:hAnsi="Arial"/>
        </w:rPr>
        <w:t>Othmar Keel / Christoph Uehlinger: Gods, Goddesses and Images of God in Ancient Israel. Fortress, 1998. https://denverjournal.denverseminary.edu/the-denver-journal-article/gods-goddesses-and-images-of-god-in-ancient-israel/</w:t>
      </w:r>
    </w:p>
    <w:p>
      <w:r>
        <w:rPr>
          <w:rFonts w:ascii="Arial" w:hAnsi="Arial"/>
        </w:rPr>
        <w:t>Karel van der Toorn: Family Religion in Babylonia, Syria and Israel. Brill, 1996. https://www.degruyterbrill.com/document/isbn/9789004668867/html?lang=en</w:t>
      </w:r>
    </w:p>
    <w:p>
      <w:r>
        <w:rPr>
          <w:rFonts w:ascii="Arial" w:hAnsi="Arial"/>
        </w:rPr>
        <w:t>Benjamin D. Sommer: The Bodies of God and the World of Ancient Israel. Cambridge University Press, 2009. https://www.cambridge.org/core/books/bodies-of-god-and-the-world-of-ancient-israel/72E589D9BD86AEDF5DBF5043453C203F</w:t>
      </w:r>
    </w:p>
    <w:p>
      <w:r>
        <w:rPr>
          <w:rFonts w:ascii="Arial" w:hAnsi="Arial"/>
        </w:rPr>
        <w:t>Michael Heiser: The Divine Council in Late Canonical and Non-Canonical Second Temple Jewish Literature. PhD, University of Wisconsin-Madison, 2004. https://digitalcommons.liberty.edu/fac_dis/93/</w:t>
      </w:r>
    </w:p>
    <w:p>
      <w:r>
        <w:rPr>
          <w:rFonts w:ascii="Arial" w:hAnsi="Arial"/>
        </w:rPr>
        <w:t>Marylyn Ellen White: The Council of Yahweh: Its Structure and Membership. PhD, University of Toronto, 2012. https://library-archives.canada.ca/eng/services/services-libraries/theses/Pages/item.aspx?idNumber=1032930610</w:t>
      </w:r>
    </w:p>
    <w:p>
      <w:r>
        <w:rPr>
          <w:rFonts w:ascii="Arial" w:hAnsi="Arial"/>
        </w:rPr>
        <w:t>Richard J. Pettey: Asherah: Goddess of Israel?. PhD, Marquette University, 1985. https://epublications.marquette.edu/dissertations_mu/2946/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000000"/>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00000"/>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