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color w:val="000000"/>
          <w:sz w:val="48"/>
        </w:rPr>
        <w:t>Vorstufe: Entstehung Israels aus kanaanäischen und gemischten Hochlandgruppen</w:t>
      </w:r>
    </w:p>
    <w:p>
      <w:pPr>
        <w:jc w:val="center"/>
      </w:pPr>
      <w:r>
        <w:rPr>
          <w:i/>
        </w:rPr>
        <w:t>Historische Ausgangslage vor dem Vier-Stufen-Modell vom göttlichen Rat zum Monotheismus</w:t>
      </w:r>
    </w:p>
    <w:p>
      <w:pPr>
        <w:pStyle w:val="Heading1"/>
      </w:pPr>
      <w:r>
        <w:t>1. Kernaussage</w:t>
      </w:r>
    </w:p>
    <w:p>
      <w:r>
        <w:rPr>
          <w:rFonts w:ascii="Arial" w:hAnsi="Arial"/>
        </w:rPr>
        <w:t>Die Vorstufe beschreibt nicht einen fertigen israelitischen Staat und auch kein geschlossenes Volk, das seine Religion wechselte. Wahrscheinlicher ist ein längerer Ethnogeneseprozess im südlichen Levante- und Hochlandraum: Teile der kanaanäischen Bevölkerung, ländliche Hochlandgruppen, pastorale Gruppen, möglicherweise Shasu-/Südgruppen und kleinere Gruppen mit Ägypten- oder Wüstenerinnerungen bildeten schrittweise eine Identität, die in den Quellen als Israel greifbar wird.</w:t>
      </w:r>
    </w:p>
    <w:p>
      <w:r>
        <w:rPr>
          <w:rFonts w:ascii="Arial" w:hAnsi="Arial"/>
        </w:rPr>
        <w:t>Für unsere religionsgeschichtliche These ist diese Vorstufe entscheidend: Der unmittelbare religiöse Hintergrund der frühen Israeliten ist nicht primär sumerisch oder ägyptisch, sondern westsemitisch-kanaanäisch. JHWH tritt in diesen Prozess ein und wird mit der entstehenden Israel-Identität verbunden; er ersetzt nicht einfach in einem einzigen Akt einen vorher einheitlichen israelitischen Hauptgott.</w:t>
      </w:r>
    </w:p>
    <w:p>
      <w:pPr>
        <w:pStyle w:val="Heading1"/>
      </w:pPr>
      <w:r>
        <w:t>2. Zeitlicher Rahmen</w:t>
      </w:r>
    </w:p>
    <w:tbl>
      <w:tblPr>
        <w:tblStyle w:val="TableGrid"/>
        <w:tblW w:type="auto" w:w="0"/>
        <w:jc w:val="left"/>
        <w:tblLook w:firstColumn="1" w:firstRow="1" w:lastColumn="0" w:lastRow="0" w:noHBand="0" w:noVBand="1" w:val="04A0"/>
      </w:tblPr>
      <w:tblGrid>
        <w:gridCol w:w="3120"/>
        <w:gridCol w:w="3120"/>
        <w:gridCol w:w="3120"/>
      </w:tblGrid>
      <w:tr>
        <w:tc>
          <w:tcPr>
            <w:tcW w:type="dxa" w:w="2160"/>
            <w:vAlign w:val="top"/>
            <w:shd w:fill="F1F3F4"/>
          </w:tcPr>
          <w:p>
            <w:r/>
            <w:r>
              <w:rPr>
                <w:rFonts w:ascii="Arial" w:hAnsi="Arial"/>
                <w:b/>
                <w:sz w:val="17"/>
              </w:rPr>
              <w:t>Zeitraum</w:t>
            </w:r>
          </w:p>
        </w:tc>
        <w:tc>
          <w:tcPr>
            <w:tcW w:type="dxa" w:w="4032"/>
            <w:vAlign w:val="top"/>
            <w:shd w:fill="F1F3F4"/>
          </w:tcPr>
          <w:p>
            <w:r/>
            <w:r>
              <w:rPr>
                <w:rFonts w:ascii="Arial" w:hAnsi="Arial"/>
                <w:b/>
                <w:sz w:val="17"/>
              </w:rPr>
              <w:t>Befund</w:t>
            </w:r>
          </w:p>
        </w:tc>
        <w:tc>
          <w:tcPr>
            <w:tcW w:type="dxa" w:w="3168"/>
            <w:vAlign w:val="top"/>
            <w:shd w:fill="F1F3F4"/>
          </w:tcPr>
          <w:p>
            <w:r/>
            <w:r>
              <w:rPr>
                <w:rFonts w:ascii="Arial" w:hAnsi="Arial"/>
                <w:b/>
                <w:sz w:val="17"/>
              </w:rPr>
              <w:t>Bedeutung</w:t>
            </w:r>
          </w:p>
        </w:tc>
      </w:tr>
      <w:tr>
        <w:tc>
          <w:tcPr>
            <w:tcW w:type="dxa" w:w="2160"/>
            <w:vAlign w:val="top"/>
          </w:tcPr>
          <w:p>
            <w:r/>
            <w:r>
              <w:rPr>
                <w:rFonts w:ascii="Arial" w:hAnsi="Arial"/>
                <w:b w:val="0"/>
                <w:sz w:val="16"/>
              </w:rPr>
              <w:t>Späte Bronzezeit, ca. 13. Jh. v. Chr.</w:t>
            </w:r>
          </w:p>
        </w:tc>
        <w:tc>
          <w:tcPr>
            <w:tcW w:type="dxa" w:w="4032"/>
            <w:vAlign w:val="top"/>
          </w:tcPr>
          <w:p>
            <w:r/>
            <w:r>
              <w:rPr>
                <w:rFonts w:ascii="Arial" w:hAnsi="Arial"/>
                <w:b w:val="0"/>
                <w:sz w:val="16"/>
              </w:rPr>
              <w:t>Kanaan steht lange unter ägyptischer Hegemonie; Stadtstaaten, lokale Eliten und ländliche Randgruppen bestehen nebeneinander.</w:t>
            </w:r>
          </w:p>
        </w:tc>
        <w:tc>
          <w:tcPr>
            <w:tcW w:type="dxa" w:w="3168"/>
            <w:vAlign w:val="top"/>
          </w:tcPr>
          <w:p>
            <w:r/>
            <w:r>
              <w:rPr>
                <w:rFonts w:ascii="Arial" w:hAnsi="Arial"/>
                <w:b w:val="0"/>
                <w:sz w:val="16"/>
              </w:rPr>
              <w:t>Ausgangsumfeld für soziale Neuformierungen im Hochland.</w:t>
            </w:r>
          </w:p>
        </w:tc>
      </w:tr>
      <w:tr>
        <w:tc>
          <w:tcPr>
            <w:tcW w:type="dxa" w:w="2160"/>
            <w:vAlign w:val="top"/>
          </w:tcPr>
          <w:p>
            <w:r/>
            <w:r>
              <w:rPr>
                <w:rFonts w:ascii="Arial" w:hAnsi="Arial"/>
                <w:b w:val="0"/>
                <w:sz w:val="16"/>
              </w:rPr>
              <w:t>ca. 1207/1208 v. Chr.</w:t>
            </w:r>
          </w:p>
        </w:tc>
        <w:tc>
          <w:tcPr>
            <w:tcW w:type="dxa" w:w="4032"/>
            <w:vAlign w:val="top"/>
          </w:tcPr>
          <w:p>
            <w:r/>
            <w:r>
              <w:rPr>
                <w:rFonts w:ascii="Arial" w:hAnsi="Arial"/>
                <w:b w:val="0"/>
                <w:sz w:val="16"/>
              </w:rPr>
              <w:t>Merenptah-Stele nennt Israel in Kanaan.</w:t>
            </w:r>
          </w:p>
        </w:tc>
        <w:tc>
          <w:tcPr>
            <w:tcW w:type="dxa" w:w="3168"/>
            <w:vAlign w:val="top"/>
          </w:tcPr>
          <w:p>
            <w:r/>
            <w:r>
              <w:rPr>
                <w:rFonts w:ascii="Arial" w:hAnsi="Arial"/>
                <w:b w:val="0"/>
                <w:sz w:val="16"/>
              </w:rPr>
              <w:t>Frühester außerbiblischer Anker: Israel ist bereits als Gruppe erkennbar, aber nicht als Stadtstaat.</w:t>
            </w:r>
          </w:p>
        </w:tc>
      </w:tr>
      <w:tr>
        <w:tc>
          <w:tcPr>
            <w:tcW w:type="dxa" w:w="2160"/>
            <w:vAlign w:val="top"/>
          </w:tcPr>
          <w:p>
            <w:r/>
            <w:r>
              <w:rPr>
                <w:rFonts w:ascii="Arial" w:hAnsi="Arial"/>
                <w:b w:val="0"/>
                <w:sz w:val="16"/>
              </w:rPr>
              <w:t>Iron Age I, ca. 1200-1000 v. Chr.</w:t>
            </w:r>
          </w:p>
        </w:tc>
        <w:tc>
          <w:tcPr>
            <w:tcW w:type="dxa" w:w="4032"/>
            <w:vAlign w:val="top"/>
          </w:tcPr>
          <w:p>
            <w:r/>
            <w:r>
              <w:rPr>
                <w:rFonts w:ascii="Arial" w:hAnsi="Arial"/>
                <w:b w:val="0"/>
                <w:sz w:val="16"/>
              </w:rPr>
              <w:t>Zunahme kleiner Hochlandsiedlungen; einfachere Dorfstrukturen; ethnische Marker entstehen erst schrittweise.</w:t>
            </w:r>
          </w:p>
        </w:tc>
        <w:tc>
          <w:tcPr>
            <w:tcW w:type="dxa" w:w="3168"/>
            <w:vAlign w:val="top"/>
          </w:tcPr>
          <w:p>
            <w:r/>
            <w:r>
              <w:rPr>
                <w:rFonts w:ascii="Arial" w:hAnsi="Arial"/>
                <w:b w:val="0"/>
                <w:sz w:val="16"/>
              </w:rPr>
              <w:t>Wahrscheinlicher Formierungsraum der frühen Israeliten.</w:t>
            </w:r>
          </w:p>
        </w:tc>
      </w:tr>
      <w:tr>
        <w:tc>
          <w:tcPr>
            <w:tcW w:type="dxa" w:w="2160"/>
            <w:vAlign w:val="top"/>
          </w:tcPr>
          <w:p>
            <w:r/>
            <w:r>
              <w:rPr>
                <w:rFonts w:ascii="Arial" w:hAnsi="Arial"/>
                <w:b w:val="0"/>
                <w:sz w:val="16"/>
              </w:rPr>
              <w:t>Frühe Königszeit</w:t>
            </w:r>
          </w:p>
        </w:tc>
        <w:tc>
          <w:tcPr>
            <w:tcW w:type="dxa" w:w="4032"/>
            <w:vAlign w:val="top"/>
          </w:tcPr>
          <w:p>
            <w:r/>
            <w:r>
              <w:rPr>
                <w:rFonts w:ascii="Arial" w:hAnsi="Arial"/>
                <w:b w:val="0"/>
                <w:sz w:val="16"/>
              </w:rPr>
              <w:t>Aus lokalen Gruppen werden größere politische Gebilde Israel/Juda.</w:t>
            </w:r>
          </w:p>
        </w:tc>
        <w:tc>
          <w:tcPr>
            <w:tcW w:type="dxa" w:w="3168"/>
            <w:vAlign w:val="top"/>
          </w:tcPr>
          <w:p>
            <w:r/>
            <w:r>
              <w:rPr>
                <w:rFonts w:ascii="Arial" w:hAnsi="Arial"/>
                <w:b w:val="0"/>
                <w:sz w:val="16"/>
              </w:rPr>
              <w:t>JHWH kann nun zunehmend als Stammes-/Nationalgott institutionalisiert werden.</w:t>
            </w:r>
          </w:p>
        </w:tc>
      </w:tr>
    </w:tbl>
    <w:p>
      <w:pPr>
        <w:pStyle w:val="Heading1"/>
      </w:pPr>
      <w:r>
        <w:t>3. Archäologisches Modell der Ethnogenese</w:t>
      </w:r>
    </w:p>
    <w:p>
      <w:r>
        <w:rPr>
          <w:rFonts w:ascii="Arial" w:hAnsi="Arial"/>
        </w:rPr>
        <w:t>Die heute tragfähige Grundannahme lautet: Frühes Israel entstand überwiegend im Land selbst, nicht als vollständig von außen eingewanderte Einheit. Die Hochlandsiedlungen zeigen demographische und soziale Neuordnung, aber keine einfache archäologische Signatur einer einheitlichen Eroberungswelle. Faust betont Ethnogenese als Prozess, in dem Merkmale erst in sozialen Interaktionen Bedeutung gewinnen. Hasel wertet die Merenptah-Stele als Hinweis auf eine sozioethnische, weitgehend landwirtschaftliche Gruppe in Kanaan.</w:t>
      </w:r>
    </w:p>
    <w:tbl>
      <w:tblPr>
        <w:tblStyle w:val="TableGrid"/>
        <w:tblW w:type="auto" w:w="0"/>
        <w:jc w:val="left"/>
        <w:tblLook w:firstColumn="1" w:firstRow="1" w:lastColumn="0" w:lastRow="0" w:noHBand="0" w:noVBand="1" w:val="04A0"/>
      </w:tblPr>
      <w:tblGrid>
        <w:gridCol w:w="3120"/>
        <w:gridCol w:w="3120"/>
        <w:gridCol w:w="3120"/>
      </w:tblGrid>
      <w:tr>
        <w:tc>
          <w:tcPr>
            <w:tcW w:type="dxa" w:w="2088"/>
            <w:vAlign w:val="top"/>
            <w:shd w:fill="F1F3F4"/>
          </w:tcPr>
          <w:p>
            <w:r/>
            <w:r>
              <w:rPr>
                <w:rFonts w:ascii="Arial" w:hAnsi="Arial"/>
                <w:b/>
                <w:sz w:val="17"/>
              </w:rPr>
              <w:t>Modell</w:t>
            </w:r>
          </w:p>
        </w:tc>
        <w:tc>
          <w:tcPr>
            <w:tcW w:type="dxa" w:w="3528"/>
            <w:vAlign w:val="top"/>
            <w:shd w:fill="F1F3F4"/>
          </w:tcPr>
          <w:p>
            <w:r/>
            <w:r>
              <w:rPr>
                <w:rFonts w:ascii="Arial" w:hAnsi="Arial"/>
                <w:b/>
                <w:sz w:val="17"/>
              </w:rPr>
              <w:t>Aussage</w:t>
            </w:r>
          </w:p>
        </w:tc>
        <w:tc>
          <w:tcPr>
            <w:tcW w:type="dxa" w:w="3744"/>
            <w:vAlign w:val="top"/>
            <w:shd w:fill="F1F3F4"/>
          </w:tcPr>
          <w:p>
            <w:r/>
            <w:r>
              <w:rPr>
                <w:rFonts w:ascii="Arial" w:hAnsi="Arial"/>
                <w:b/>
                <w:sz w:val="17"/>
              </w:rPr>
              <w:t>Bewertung für unsere Arbeit</w:t>
            </w:r>
          </w:p>
        </w:tc>
      </w:tr>
      <w:tr>
        <w:tc>
          <w:tcPr>
            <w:tcW w:type="dxa" w:w="2088"/>
            <w:vAlign w:val="top"/>
          </w:tcPr>
          <w:p>
            <w:r/>
            <w:r>
              <w:rPr>
                <w:rFonts w:ascii="Arial" w:hAnsi="Arial"/>
                <w:b w:val="0"/>
                <w:sz w:val="16"/>
              </w:rPr>
              <w:t>Klassische Eroberung</w:t>
            </w:r>
          </w:p>
        </w:tc>
        <w:tc>
          <w:tcPr>
            <w:tcW w:type="dxa" w:w="3528"/>
            <w:vAlign w:val="top"/>
          </w:tcPr>
          <w:p>
            <w:r/>
            <w:r>
              <w:rPr>
                <w:rFonts w:ascii="Arial" w:hAnsi="Arial"/>
                <w:b w:val="0"/>
                <w:sz w:val="16"/>
              </w:rPr>
              <w:t>Israel kommt als geschlossenes Volk von außen und erobert Kanaan.</w:t>
            </w:r>
          </w:p>
        </w:tc>
        <w:tc>
          <w:tcPr>
            <w:tcW w:type="dxa" w:w="3744"/>
            <w:vAlign w:val="top"/>
          </w:tcPr>
          <w:p>
            <w:r/>
            <w:r>
              <w:rPr>
                <w:rFonts w:ascii="Arial" w:hAnsi="Arial"/>
                <w:b w:val="0"/>
                <w:sz w:val="16"/>
              </w:rPr>
              <w:t>nicht ausreichend belegt; archäologisch zu einfach.</w:t>
            </w:r>
          </w:p>
        </w:tc>
      </w:tr>
      <w:tr>
        <w:tc>
          <w:tcPr>
            <w:tcW w:type="dxa" w:w="2088"/>
            <w:vAlign w:val="top"/>
          </w:tcPr>
          <w:p>
            <w:r/>
            <w:r>
              <w:rPr>
                <w:rFonts w:ascii="Arial" w:hAnsi="Arial"/>
                <w:b w:val="0"/>
                <w:sz w:val="16"/>
              </w:rPr>
              <w:t>Friedliche Einwanderung</w:t>
            </w:r>
          </w:p>
        </w:tc>
        <w:tc>
          <w:tcPr>
            <w:tcW w:type="dxa" w:w="3528"/>
            <w:vAlign w:val="top"/>
          </w:tcPr>
          <w:p>
            <w:r/>
            <w:r>
              <w:rPr>
                <w:rFonts w:ascii="Arial" w:hAnsi="Arial"/>
                <w:b w:val="0"/>
                <w:sz w:val="16"/>
              </w:rPr>
              <w:t>Pastorale Gruppen siedeln sich im Hochland an.</w:t>
            </w:r>
          </w:p>
        </w:tc>
        <w:tc>
          <w:tcPr>
            <w:tcW w:type="dxa" w:w="3744"/>
            <w:vAlign w:val="top"/>
          </w:tcPr>
          <w:p>
            <w:r/>
            <w:r>
              <w:rPr>
                <w:rFonts w:ascii="Arial" w:hAnsi="Arial"/>
                <w:b w:val="0"/>
                <w:sz w:val="16"/>
              </w:rPr>
              <w:t>teilweise plausibel, aber allein nicht ausreichend.</w:t>
            </w:r>
          </w:p>
        </w:tc>
      </w:tr>
      <w:tr>
        <w:tc>
          <w:tcPr>
            <w:tcW w:type="dxa" w:w="2088"/>
            <w:vAlign w:val="top"/>
          </w:tcPr>
          <w:p>
            <w:r/>
            <w:r>
              <w:rPr>
                <w:rFonts w:ascii="Arial" w:hAnsi="Arial"/>
                <w:b w:val="0"/>
                <w:sz w:val="16"/>
              </w:rPr>
              <w:t>Soziale Revolution</w:t>
            </w:r>
          </w:p>
        </w:tc>
        <w:tc>
          <w:tcPr>
            <w:tcW w:type="dxa" w:w="3528"/>
            <w:vAlign w:val="top"/>
          </w:tcPr>
          <w:p>
            <w:r/>
            <w:r>
              <w:rPr>
                <w:rFonts w:ascii="Arial" w:hAnsi="Arial"/>
                <w:b w:val="0"/>
                <w:sz w:val="16"/>
              </w:rPr>
              <w:t>Unterdrückte kanaanäische Gruppen bilden eine neue egalitäre Identität.</w:t>
            </w:r>
          </w:p>
        </w:tc>
        <w:tc>
          <w:tcPr>
            <w:tcW w:type="dxa" w:w="3744"/>
            <w:vAlign w:val="top"/>
          </w:tcPr>
          <w:p>
            <w:r/>
            <w:r>
              <w:rPr>
                <w:rFonts w:ascii="Arial" w:hAnsi="Arial"/>
                <w:b w:val="0"/>
                <w:sz w:val="16"/>
              </w:rPr>
              <w:t>historisch anregend, aber in reiner Form zu schematisch.</w:t>
            </w:r>
          </w:p>
        </w:tc>
      </w:tr>
      <w:tr>
        <w:tc>
          <w:tcPr>
            <w:tcW w:type="dxa" w:w="2088"/>
            <w:vAlign w:val="top"/>
          </w:tcPr>
          <w:p>
            <w:r/>
            <w:r>
              <w:rPr>
                <w:rFonts w:ascii="Arial" w:hAnsi="Arial"/>
                <w:b w:val="0"/>
                <w:sz w:val="16"/>
              </w:rPr>
              <w:t>Gemischte Ethnogenese</w:t>
            </w:r>
          </w:p>
        </w:tc>
        <w:tc>
          <w:tcPr>
            <w:tcW w:type="dxa" w:w="3528"/>
            <w:vAlign w:val="top"/>
          </w:tcPr>
          <w:p>
            <w:r/>
            <w:r>
              <w:rPr>
                <w:rFonts w:ascii="Arial" w:hAnsi="Arial"/>
                <w:b w:val="0"/>
                <w:sz w:val="16"/>
              </w:rPr>
              <w:t>Indigene Kanaanäer, Hochlandgruppen, pastorale Gruppen und kleinere Zuzüge bilden über Zeit Israel.</w:t>
            </w:r>
          </w:p>
        </w:tc>
        <w:tc>
          <w:tcPr>
            <w:tcW w:type="dxa" w:w="3744"/>
            <w:vAlign w:val="top"/>
          </w:tcPr>
          <w:p>
            <w:r/>
            <w:r>
              <w:rPr>
                <w:rFonts w:ascii="Arial" w:hAnsi="Arial"/>
                <w:b w:val="0"/>
                <w:sz w:val="16"/>
              </w:rPr>
              <w:t>am besten als Arbeitsmodell geeignet.</w:t>
            </w:r>
          </w:p>
        </w:tc>
      </w:tr>
    </w:tbl>
    <w:p>
      <w:pPr>
        <w:pStyle w:val="Heading1"/>
      </w:pPr>
      <w:r>
        <w:t>4. Zusammensetzung der frühen Gruppen</w:t>
      </w:r>
    </w:p>
    <w:p>
      <w:pPr>
        <w:pStyle w:val="ListBullet"/>
      </w:pPr>
      <w:r>
        <w:rPr>
          <w:rFonts w:ascii="Arial" w:hAnsi="Arial"/>
        </w:rPr>
        <w:t>Kanaanäische ländliche Bevölkerung: wahrscheinlich der größte Anteil; sie brachte westsemitische Götter- und Kulttraditionen mit.</w:t>
      </w:r>
    </w:p>
    <w:p>
      <w:pPr>
        <w:pStyle w:val="ListBullet"/>
      </w:pPr>
      <w:r>
        <w:rPr>
          <w:rFonts w:ascii="Arial" w:hAnsi="Arial"/>
        </w:rPr>
        <w:t>Hochland-Siedler: kleine Dorfgruppen im zentralen Bergland und teils Transjordanien; Identität entstand aus Lebensweise, Abgrenzung und Tradition.</w:t>
      </w:r>
    </w:p>
    <w:p>
      <w:pPr>
        <w:pStyle w:val="ListBullet"/>
      </w:pPr>
      <w:r>
        <w:rPr>
          <w:rFonts w:ascii="Arial" w:hAnsi="Arial"/>
        </w:rPr>
        <w:t>Pastorale oder mobile Gruppen: möglich als Träger südlicher Wüsten-/JHWH-Traditionen, aber nicht als alleinige Herkunft Israels.</w:t>
      </w:r>
    </w:p>
    <w:p>
      <w:pPr>
        <w:pStyle w:val="ListBullet"/>
      </w:pPr>
      <w:r>
        <w:rPr>
          <w:rFonts w:ascii="Arial" w:hAnsi="Arial"/>
        </w:rPr>
        <w:t>Gruppen mit Ägyptenbezug: Exodus-/Mose-Traditionen können Erinnerungen kleiner Gruppen bewahren; sie erklären aber nicht die gesamte Ethnogenese.</w:t>
      </w:r>
    </w:p>
    <w:p>
      <w:pPr>
        <w:pStyle w:val="ListBullet"/>
      </w:pPr>
      <w:r>
        <w:rPr>
          <w:rFonts w:ascii="Arial" w:hAnsi="Arial"/>
        </w:rPr>
        <w:t>Südliche Gruppen aus Edom/Seir/Teman/Midian-Kontexten: wichtig für die Frage nach JHWHs Herkunft, aber in Quellenlage vorsichtig zu behandeln.</w:t>
      </w:r>
    </w:p>
    <w:p>
      <w:pPr>
        <w:pStyle w:val="Heading1"/>
      </w:pPr>
      <w:r>
        <w:t>5. Religiöse Ausgangslage</w:t>
      </w:r>
    </w:p>
    <w:p>
      <w:r>
        <w:rPr>
          <w:rFonts w:ascii="Arial" w:hAnsi="Arial"/>
        </w:rPr>
        <w:t>Die frühe religiöse Umwelt war westsemitisch-kanaanäisch. Erwartbar sind El als Hochgott, Aschera/Athirat als weibliche göttliche Gestalt, Baal/Hadad als Wetter- und Fruchtbarkeitsgott, lokale Baale, Ahnen-/Hauskulte und regionale Schutzgötter. Diese Religionswelt ist der unmittelbare Boden, auf dem JHWH später als Gott Israels erscheint und mit El-Funktionen verbunden wird.</w:t>
      </w:r>
    </w:p>
    <w:tbl>
      <w:tblPr>
        <w:tblStyle w:val="TableGrid"/>
        <w:tblW w:type="auto" w:w="0"/>
        <w:jc w:val="left"/>
        <w:tblLook w:firstColumn="1" w:firstRow="1" w:lastColumn="0" w:lastRow="0" w:noHBand="0" w:noVBand="1" w:val="04A0"/>
      </w:tblPr>
      <w:tblGrid>
        <w:gridCol w:w="3120"/>
        <w:gridCol w:w="3120"/>
        <w:gridCol w:w="3120"/>
      </w:tblGrid>
      <w:tr>
        <w:tc>
          <w:tcPr>
            <w:tcW w:type="dxa" w:w="2160"/>
            <w:vAlign w:val="top"/>
            <w:shd w:fill="F1F3F4"/>
          </w:tcPr>
          <w:p>
            <w:r/>
            <w:r>
              <w:rPr>
                <w:rFonts w:ascii="Arial" w:hAnsi="Arial"/>
                <w:b/>
                <w:sz w:val="17"/>
              </w:rPr>
              <w:t>Religiöser Komplex</w:t>
            </w:r>
          </w:p>
        </w:tc>
        <w:tc>
          <w:tcPr>
            <w:tcW w:type="dxa" w:w="3528"/>
            <w:vAlign w:val="top"/>
            <w:shd w:fill="F1F3F4"/>
          </w:tcPr>
          <w:p>
            <w:r/>
            <w:r>
              <w:rPr>
                <w:rFonts w:ascii="Arial" w:hAnsi="Arial"/>
                <w:b/>
                <w:sz w:val="17"/>
              </w:rPr>
              <w:t>Wahrscheinliche Rolle in der Vorstufe</w:t>
            </w:r>
          </w:p>
        </w:tc>
        <w:tc>
          <w:tcPr>
            <w:tcW w:type="dxa" w:w="3672"/>
            <w:vAlign w:val="top"/>
            <w:shd w:fill="F1F3F4"/>
          </w:tcPr>
          <w:p>
            <w:r/>
            <w:r>
              <w:rPr>
                <w:rFonts w:ascii="Arial" w:hAnsi="Arial"/>
                <w:b/>
                <w:sz w:val="17"/>
              </w:rPr>
              <w:t>Bedeutung für spätere Stufen</w:t>
            </w:r>
          </w:p>
        </w:tc>
      </w:tr>
      <w:tr>
        <w:tc>
          <w:tcPr>
            <w:tcW w:type="dxa" w:w="2160"/>
            <w:vAlign w:val="top"/>
          </w:tcPr>
          <w:p>
            <w:r/>
            <w:r>
              <w:rPr>
                <w:rFonts w:ascii="Arial" w:hAnsi="Arial"/>
                <w:b w:val="0"/>
                <w:sz w:val="16"/>
              </w:rPr>
              <w:t>El</w:t>
            </w:r>
          </w:p>
        </w:tc>
        <w:tc>
          <w:tcPr>
            <w:tcW w:type="dxa" w:w="3528"/>
            <w:vAlign w:val="top"/>
          </w:tcPr>
          <w:p>
            <w:r/>
            <w:r>
              <w:rPr>
                <w:rFonts w:ascii="Arial" w:hAnsi="Arial"/>
                <w:b w:val="0"/>
                <w:sz w:val="16"/>
              </w:rPr>
              <w:t>Hochgott/Vater/Ratsoberhaupt im westsemitischen Hintergrund.</w:t>
            </w:r>
          </w:p>
        </w:tc>
        <w:tc>
          <w:tcPr>
            <w:tcW w:type="dxa" w:w="3672"/>
            <w:vAlign w:val="top"/>
          </w:tcPr>
          <w:p>
            <w:r/>
            <w:r>
              <w:rPr>
                <w:rFonts w:ascii="Arial" w:hAnsi="Arial"/>
                <w:b w:val="0"/>
                <w:sz w:val="16"/>
              </w:rPr>
              <w:t>JHWH kann El-Titel und El-Funktionen übernehmen.</w:t>
            </w:r>
          </w:p>
        </w:tc>
      </w:tr>
      <w:tr>
        <w:tc>
          <w:tcPr>
            <w:tcW w:type="dxa" w:w="2160"/>
            <w:vAlign w:val="top"/>
          </w:tcPr>
          <w:p>
            <w:r/>
            <w:r>
              <w:rPr>
                <w:rFonts w:ascii="Arial" w:hAnsi="Arial"/>
                <w:b w:val="0"/>
                <w:sz w:val="16"/>
              </w:rPr>
              <w:t>Aschera/Athirat</w:t>
            </w:r>
          </w:p>
        </w:tc>
        <w:tc>
          <w:tcPr>
            <w:tcW w:type="dxa" w:w="3528"/>
            <w:vAlign w:val="top"/>
          </w:tcPr>
          <w:p>
            <w:r/>
            <w:r>
              <w:rPr>
                <w:rFonts w:ascii="Arial" w:hAnsi="Arial"/>
                <w:b w:val="0"/>
                <w:sz w:val="16"/>
              </w:rPr>
              <w:t>Mutter-/Partner-/Schutzfigur in kanaanäischer und später israelitischer Volksreligion.</w:t>
            </w:r>
          </w:p>
        </w:tc>
        <w:tc>
          <w:tcPr>
            <w:tcW w:type="dxa" w:w="3672"/>
            <w:vAlign w:val="top"/>
          </w:tcPr>
          <w:p>
            <w:r/>
            <w:r>
              <w:rPr>
                <w:rFonts w:ascii="Arial" w:hAnsi="Arial"/>
                <w:b w:val="0"/>
                <w:sz w:val="16"/>
              </w:rPr>
              <w:t>Erklärt spätere JHWH-Aschera-Verbindungen als Binnenphänomen, nicht nur Fremdeinfluss.</w:t>
            </w:r>
          </w:p>
        </w:tc>
      </w:tr>
      <w:tr>
        <w:tc>
          <w:tcPr>
            <w:tcW w:type="dxa" w:w="2160"/>
            <w:vAlign w:val="top"/>
          </w:tcPr>
          <w:p>
            <w:r/>
            <w:r>
              <w:rPr>
                <w:rFonts w:ascii="Arial" w:hAnsi="Arial"/>
                <w:b w:val="0"/>
                <w:sz w:val="16"/>
              </w:rPr>
              <w:t>Baal/Hadad</w:t>
            </w:r>
          </w:p>
        </w:tc>
        <w:tc>
          <w:tcPr>
            <w:tcW w:type="dxa" w:w="3528"/>
            <w:vAlign w:val="top"/>
          </w:tcPr>
          <w:p>
            <w:r/>
            <w:r>
              <w:rPr>
                <w:rFonts w:ascii="Arial" w:hAnsi="Arial"/>
                <w:b w:val="0"/>
                <w:sz w:val="16"/>
              </w:rPr>
              <w:t>Praktisch wichtiger Wetter-, Regen- und Fruchtbarkeitsgott.</w:t>
            </w:r>
          </w:p>
        </w:tc>
        <w:tc>
          <w:tcPr>
            <w:tcW w:type="dxa" w:w="3672"/>
            <w:vAlign w:val="top"/>
          </w:tcPr>
          <w:p>
            <w:r/>
            <w:r>
              <w:rPr>
                <w:rFonts w:ascii="Arial" w:hAnsi="Arial"/>
                <w:b w:val="0"/>
                <w:sz w:val="16"/>
              </w:rPr>
              <w:t>JHWH übernimmt Wetter-, Wolken-, Kriegs- und Chaoskampfmotive.</w:t>
            </w:r>
          </w:p>
        </w:tc>
      </w:tr>
      <w:tr>
        <w:tc>
          <w:tcPr>
            <w:tcW w:type="dxa" w:w="2160"/>
            <w:vAlign w:val="top"/>
          </w:tcPr>
          <w:p>
            <w:r/>
            <w:r>
              <w:rPr>
                <w:rFonts w:ascii="Arial" w:hAnsi="Arial"/>
                <w:b w:val="0"/>
                <w:sz w:val="16"/>
              </w:rPr>
              <w:t>Lokale Schutzgötter/Ahnen</w:t>
            </w:r>
          </w:p>
        </w:tc>
        <w:tc>
          <w:tcPr>
            <w:tcW w:type="dxa" w:w="3528"/>
            <w:vAlign w:val="top"/>
          </w:tcPr>
          <w:p>
            <w:r/>
            <w:r>
              <w:rPr>
                <w:rFonts w:ascii="Arial" w:hAnsi="Arial"/>
                <w:b w:val="0"/>
                <w:sz w:val="16"/>
              </w:rPr>
              <w:t>Familien- und Ortskulte vor staatlicher Vereinheitlichung.</w:t>
            </w:r>
          </w:p>
        </w:tc>
        <w:tc>
          <w:tcPr>
            <w:tcW w:type="dxa" w:w="3672"/>
            <w:vAlign w:val="top"/>
          </w:tcPr>
          <w:p>
            <w:r/>
            <w:r>
              <w:rPr>
                <w:rFonts w:ascii="Arial" w:hAnsi="Arial"/>
                <w:b w:val="0"/>
                <w:sz w:val="16"/>
              </w:rPr>
              <w:t>Nationalgott JHWH entsteht gegen eine plurale lokale Praxis.</w:t>
            </w:r>
          </w:p>
        </w:tc>
      </w:tr>
      <w:tr>
        <w:tc>
          <w:tcPr>
            <w:tcW w:type="dxa" w:w="2160"/>
            <w:vAlign w:val="top"/>
          </w:tcPr>
          <w:p>
            <w:r/>
            <w:r>
              <w:rPr>
                <w:rFonts w:ascii="Arial" w:hAnsi="Arial"/>
                <w:b w:val="0"/>
                <w:sz w:val="16"/>
              </w:rPr>
              <w:t>JHWH</w:t>
            </w:r>
          </w:p>
        </w:tc>
        <w:tc>
          <w:tcPr>
            <w:tcW w:type="dxa" w:w="3528"/>
            <w:vAlign w:val="top"/>
          </w:tcPr>
          <w:p>
            <w:r/>
            <w:r>
              <w:rPr>
                <w:rFonts w:ascii="Arial" w:hAnsi="Arial"/>
                <w:b w:val="0"/>
                <w:sz w:val="16"/>
              </w:rPr>
              <w:t>Möglicherweise südlich/wüstenbezogen bezeugt oder vermittelt; wird mit Israel verbunden.</w:t>
            </w:r>
          </w:p>
        </w:tc>
        <w:tc>
          <w:tcPr>
            <w:tcW w:type="dxa" w:w="3672"/>
            <w:vAlign w:val="top"/>
          </w:tcPr>
          <w:p>
            <w:r/>
            <w:r>
              <w:rPr>
                <w:rFonts w:ascii="Arial" w:hAnsi="Arial"/>
                <w:b w:val="0"/>
                <w:sz w:val="16"/>
              </w:rPr>
              <w:t>Startpunkt für Stufe 2: JHWH als Gott Israels.</w:t>
            </w:r>
          </w:p>
        </w:tc>
      </w:tr>
    </w:tbl>
    <w:p>
      <w:pPr>
        <w:pStyle w:val="Heading1"/>
      </w:pPr>
      <w:r>
        <w:t>6. JHWH und südliche Traditionslinien</w:t>
      </w:r>
    </w:p>
    <w:p>
      <w:r>
        <w:rPr>
          <w:rFonts w:ascii="Arial" w:hAnsi="Arial"/>
        </w:rPr>
        <w:t>Die Frage nach JHWHs Herkunft ist von der Frage nach Israels Herkunft zu trennen. Israel kann überwiegend im kanaanäischen Hochland entstanden sein, während JHWH-Traditionen zugleich südliche Bezüge aufweisen. Fleming stellt die ägyptischen Hinweise auf Yhw/Shasu als wichtigen chronologischen Ausgangspunkt für die historische Bewertung des Namens heraus. Lewis behandelt in breiterer Perspektive epigraphische Zeugnisse, Shasu-Nomaden, Midianite-Kenite-Hypothese und archaische Wüstentheophanien.</w:t>
      </w:r>
    </w:p>
    <w:p>
      <w:r>
        <w:rPr>
          <w:rFonts w:ascii="Arial" w:hAnsi="Arial"/>
        </w:rPr>
        <w:t>Arbeitsformel: Israel entsteht hauptsächlich im kanaanäischen Hochland; JHWH kann über südliche Gruppen, Kultkontakte oder mobile Traditionen in diese entstehende Identität eingebracht worden sein. Diese Formel ist vorsichtiger und stärker als die Aussage, Israel sei insgesamt aus Edom, Midian oder Ägypten eingewandert.</w:t>
      </w:r>
    </w:p>
    <w:p>
      <w:pPr>
        <w:pStyle w:val="Heading1"/>
      </w:pPr>
      <w:r>
        <w:t>7. Abgrenzung gegen problematische Modelle</w:t>
      </w:r>
    </w:p>
    <w:tbl>
      <w:tblPr>
        <w:tblStyle w:val="TableGrid"/>
        <w:tblW w:type="auto" w:w="0"/>
        <w:jc w:val="left"/>
        <w:tblLook w:firstColumn="1" w:firstRow="1" w:lastColumn="0" w:lastRow="0" w:noHBand="0" w:noVBand="1" w:val="04A0"/>
      </w:tblPr>
      <w:tblGrid>
        <w:gridCol w:w="3120"/>
        <w:gridCol w:w="3120"/>
        <w:gridCol w:w="3120"/>
      </w:tblGrid>
      <w:tr>
        <w:tc>
          <w:tcPr>
            <w:tcW w:type="dxa" w:w="3384"/>
            <w:vAlign w:val="top"/>
            <w:shd w:fill="F1F3F4"/>
          </w:tcPr>
          <w:p>
            <w:r/>
            <w:r>
              <w:rPr>
                <w:rFonts w:ascii="Arial" w:hAnsi="Arial"/>
                <w:b/>
                <w:sz w:val="17"/>
              </w:rPr>
              <w:t>These</w:t>
            </w:r>
          </w:p>
        </w:tc>
        <w:tc>
          <w:tcPr>
            <w:tcW w:type="dxa" w:w="1656"/>
            <w:vAlign w:val="top"/>
            <w:shd w:fill="F1F3F4"/>
          </w:tcPr>
          <w:p>
            <w:r/>
            <w:r>
              <w:rPr>
                <w:rFonts w:ascii="Arial" w:hAnsi="Arial"/>
                <w:b/>
                <w:sz w:val="17"/>
              </w:rPr>
              <w:t>Status</w:t>
            </w:r>
          </w:p>
        </w:tc>
        <w:tc>
          <w:tcPr>
            <w:tcW w:type="dxa" w:w="4320"/>
            <w:vAlign w:val="top"/>
            <w:shd w:fill="F1F3F4"/>
          </w:tcPr>
          <w:p>
            <w:r/>
            <w:r>
              <w:rPr>
                <w:rFonts w:ascii="Arial" w:hAnsi="Arial"/>
                <w:b/>
                <w:sz w:val="17"/>
              </w:rPr>
              <w:t>Begründung</w:t>
            </w:r>
          </w:p>
        </w:tc>
      </w:tr>
      <w:tr>
        <w:tc>
          <w:tcPr>
            <w:tcW w:type="dxa" w:w="3384"/>
            <w:vAlign w:val="top"/>
          </w:tcPr>
          <w:p>
            <w:r/>
            <w:r>
              <w:rPr>
                <w:rFonts w:ascii="Arial" w:hAnsi="Arial"/>
                <w:b w:val="0"/>
                <w:sz w:val="16"/>
              </w:rPr>
              <w:t>Israeliten waren ursprünglich Sumerer/Anunnaki-Verehrer.</w:t>
            </w:r>
          </w:p>
        </w:tc>
        <w:tc>
          <w:tcPr>
            <w:tcW w:type="dxa" w:w="1656"/>
            <w:vAlign w:val="top"/>
          </w:tcPr>
          <w:p>
            <w:r/>
            <w:r>
              <w:rPr>
                <w:rFonts w:ascii="Arial" w:hAnsi="Arial"/>
                <w:b w:val="0"/>
                <w:sz w:val="16"/>
              </w:rPr>
              <w:t>nicht belegt</w:t>
            </w:r>
          </w:p>
        </w:tc>
        <w:tc>
          <w:tcPr>
            <w:tcW w:type="dxa" w:w="4320"/>
            <w:vAlign w:val="top"/>
          </w:tcPr>
          <w:p>
            <w:r/>
            <w:r>
              <w:rPr>
                <w:rFonts w:ascii="Arial" w:hAnsi="Arial"/>
                <w:b w:val="0"/>
                <w:sz w:val="16"/>
              </w:rPr>
              <w:t>Mesopotamische Stoffe beeinflussen biblische Literatur; das beweist keine ethnische oder kultische Herkunft Israels aus Sumer.</w:t>
            </w:r>
          </w:p>
        </w:tc>
      </w:tr>
      <w:tr>
        <w:tc>
          <w:tcPr>
            <w:tcW w:type="dxa" w:w="3384"/>
            <w:vAlign w:val="top"/>
          </w:tcPr>
          <w:p>
            <w:r/>
            <w:r>
              <w:rPr>
                <w:rFonts w:ascii="Arial" w:hAnsi="Arial"/>
                <w:b w:val="0"/>
                <w:sz w:val="16"/>
              </w:rPr>
              <w:t>Israeliten verehrten vor JHWH hauptsächlich ägyptische Götter.</w:t>
            </w:r>
          </w:p>
        </w:tc>
        <w:tc>
          <w:tcPr>
            <w:tcW w:type="dxa" w:w="1656"/>
            <w:vAlign w:val="top"/>
          </w:tcPr>
          <w:p>
            <w:r/>
            <w:r>
              <w:rPr>
                <w:rFonts w:ascii="Arial" w:hAnsi="Arial"/>
                <w:b w:val="0"/>
                <w:sz w:val="16"/>
              </w:rPr>
              <w:t>nicht belegt</w:t>
            </w:r>
          </w:p>
        </w:tc>
        <w:tc>
          <w:tcPr>
            <w:tcW w:type="dxa" w:w="4320"/>
            <w:vAlign w:val="top"/>
          </w:tcPr>
          <w:p>
            <w:r/>
            <w:r>
              <w:rPr>
                <w:rFonts w:ascii="Arial" w:hAnsi="Arial"/>
                <w:b w:val="0"/>
                <w:sz w:val="16"/>
              </w:rPr>
              <w:t>Ägyptische Hegemonie und Motive sind real; ein ägyptischer Hauptkult Israels ist nicht belegt.</w:t>
            </w:r>
          </w:p>
        </w:tc>
      </w:tr>
      <w:tr>
        <w:tc>
          <w:tcPr>
            <w:tcW w:type="dxa" w:w="3384"/>
            <w:vAlign w:val="top"/>
          </w:tcPr>
          <w:p>
            <w:r/>
            <w:r>
              <w:rPr>
                <w:rFonts w:ascii="Arial" w:hAnsi="Arial"/>
                <w:b w:val="0"/>
                <w:sz w:val="16"/>
              </w:rPr>
              <w:t>Frühes Israel entstand überwiegend aus kanaanäischen Hochlandgruppen.</w:t>
            </w:r>
          </w:p>
        </w:tc>
        <w:tc>
          <w:tcPr>
            <w:tcW w:type="dxa" w:w="1656"/>
            <w:vAlign w:val="top"/>
          </w:tcPr>
          <w:p>
            <w:r/>
            <w:r>
              <w:rPr>
                <w:rFonts w:ascii="Arial" w:hAnsi="Arial"/>
                <w:b w:val="0"/>
                <w:sz w:val="16"/>
              </w:rPr>
              <w:t>plausibel</w:t>
            </w:r>
          </w:p>
        </w:tc>
        <w:tc>
          <w:tcPr>
            <w:tcW w:type="dxa" w:w="4320"/>
            <w:vAlign w:val="top"/>
          </w:tcPr>
          <w:p>
            <w:r/>
            <w:r>
              <w:rPr>
                <w:rFonts w:ascii="Arial" w:hAnsi="Arial"/>
                <w:b w:val="0"/>
                <w:sz w:val="16"/>
              </w:rPr>
              <w:t>Archäologie und Ethnogenese-Modelle stützen eine lokale Formierung mit gemischten Anteilen.</w:t>
            </w:r>
          </w:p>
        </w:tc>
      </w:tr>
      <w:tr>
        <w:tc>
          <w:tcPr>
            <w:tcW w:type="dxa" w:w="3384"/>
            <w:vAlign w:val="top"/>
          </w:tcPr>
          <w:p>
            <w:r/>
            <w:r>
              <w:rPr>
                <w:rFonts w:ascii="Arial" w:hAnsi="Arial"/>
                <w:b w:val="0"/>
                <w:sz w:val="16"/>
              </w:rPr>
              <w:t>JHWH entstand unabhängig von Israel und wurde später Israelgott.</w:t>
            </w:r>
          </w:p>
        </w:tc>
        <w:tc>
          <w:tcPr>
            <w:tcW w:type="dxa" w:w="1656"/>
            <w:vAlign w:val="top"/>
          </w:tcPr>
          <w:p>
            <w:r/>
            <w:r>
              <w:rPr>
                <w:rFonts w:ascii="Arial" w:hAnsi="Arial"/>
                <w:b w:val="0"/>
                <w:sz w:val="16"/>
              </w:rPr>
              <w:t>plausibel/strittig</w:t>
            </w:r>
          </w:p>
        </w:tc>
        <w:tc>
          <w:tcPr>
            <w:tcW w:type="dxa" w:w="4320"/>
            <w:vAlign w:val="top"/>
          </w:tcPr>
          <w:p>
            <w:r/>
            <w:r>
              <w:rPr>
                <w:rFonts w:ascii="Arial" w:hAnsi="Arial"/>
                <w:b w:val="0"/>
                <w:sz w:val="16"/>
              </w:rPr>
              <w:t>Südliche Yhw-/Shasu- und Wüstentheophanie-Hinweise sprechen dafür; genaue Vermittlung bleibt offen.</w:t>
            </w:r>
          </w:p>
        </w:tc>
      </w:tr>
      <w:tr>
        <w:tc>
          <w:tcPr>
            <w:tcW w:type="dxa" w:w="3384"/>
            <w:vAlign w:val="top"/>
          </w:tcPr>
          <w:p>
            <w:r/>
            <w:r>
              <w:rPr>
                <w:rFonts w:ascii="Arial" w:hAnsi="Arial"/>
                <w:b w:val="0"/>
                <w:sz w:val="16"/>
              </w:rPr>
              <w:t>El ist der wichtigste religiöse Bezugspunkt vor/neben JHWH.</w:t>
            </w:r>
          </w:p>
        </w:tc>
        <w:tc>
          <w:tcPr>
            <w:tcW w:type="dxa" w:w="1656"/>
            <w:vAlign w:val="top"/>
          </w:tcPr>
          <w:p>
            <w:r/>
            <w:r>
              <w:rPr>
                <w:rFonts w:ascii="Arial" w:hAnsi="Arial"/>
                <w:b w:val="0"/>
                <w:sz w:val="16"/>
              </w:rPr>
              <w:t>plausibel</w:t>
            </w:r>
          </w:p>
        </w:tc>
        <w:tc>
          <w:tcPr>
            <w:tcW w:type="dxa" w:w="4320"/>
            <w:vAlign w:val="top"/>
          </w:tcPr>
          <w:p>
            <w:r/>
            <w:r>
              <w:rPr>
                <w:rFonts w:ascii="Arial" w:hAnsi="Arial"/>
                <w:b w:val="0"/>
                <w:sz w:val="16"/>
              </w:rPr>
              <w:t>Westsemitischer Kontext, El-Titel und spätere JHWH-El-Identifikation stützen diese Linie.</w:t>
            </w:r>
          </w:p>
        </w:tc>
      </w:tr>
    </w:tbl>
    <w:p>
      <w:pPr>
        <w:pStyle w:val="Heading1"/>
      </w:pPr>
      <w:r>
        <w:t>8. Integration in unser Stufenmodell</w:t>
      </w:r>
    </w:p>
    <w:p>
      <w:r>
        <w:rPr>
          <w:rFonts w:ascii="Arial" w:hAnsi="Arial"/>
        </w:rPr>
        <w:t>Die Vorstufe wird vor Stufe 1 gesetzt. Sie erklärt die Trägergruppe, nicht schon den voll entwickelten theologischen Übergang.</w:t>
      </w:r>
    </w:p>
    <w:p>
      <w:pPr>
        <w:pStyle w:val="ListNumber"/>
      </w:pPr>
      <w:r>
        <w:rPr>
          <w:rFonts w:ascii="Arial" w:hAnsi="Arial"/>
        </w:rPr>
        <w:t>Vorstufe: Entstehung Israels aus kanaanäischen und gemischten Hochlandgruppen; religiöse Umwelt El/Aschera/Baal/lokale Kulte; mögliche südliche JHWH-Traditionen.</w:t>
      </w:r>
    </w:p>
    <w:p>
      <w:pPr>
        <w:pStyle w:val="ListNumber"/>
      </w:pPr>
      <w:r>
        <w:rPr>
          <w:rFonts w:ascii="Arial" w:hAnsi="Arial"/>
        </w:rPr>
        <w:t>Stufe 1: Rat der Söhne Els als westsemitischer Polytheismus.</w:t>
      </w:r>
    </w:p>
    <w:p>
      <w:pPr>
        <w:pStyle w:val="ListNumber"/>
      </w:pPr>
      <w:r>
        <w:rPr>
          <w:rFonts w:ascii="Arial" w:hAnsi="Arial"/>
        </w:rPr>
        <w:t>Stufe 2: JHWH als Gott Israels innerhalb einer älteren Völker- und Götterordnung.</w:t>
      </w:r>
    </w:p>
    <w:p>
      <w:pPr>
        <w:pStyle w:val="ListNumber"/>
      </w:pPr>
      <w:r>
        <w:rPr>
          <w:rFonts w:ascii="Arial" w:hAnsi="Arial"/>
        </w:rPr>
        <w:t>Stufe 3: JHWH übernimmt El-Titel und Baal-Funktionen; andere Mächte werden untergeordnet.</w:t>
      </w:r>
    </w:p>
    <w:p>
      <w:pPr>
        <w:pStyle w:val="ListNumber"/>
      </w:pPr>
      <w:r>
        <w:rPr>
          <w:rFonts w:ascii="Arial" w:hAnsi="Arial"/>
        </w:rPr>
        <w:t>Stufe 4: JHWH-exklusiver Monotheismus; übrige Wesen werden Engel, Dämonen oder literarische Erinnerungen.</w:t>
      </w:r>
    </w:p>
    <w:p>
      <w:pPr>
        <w:pStyle w:val="Heading1"/>
      </w:pPr>
      <w:r>
        <w:t>9. Arbeitsdefinition für die Hauptausarbeitung</w:t>
      </w:r>
    </w:p>
    <w:p>
      <w:r>
        <w:rPr>
          <w:rFonts w:ascii="Arial" w:hAnsi="Arial"/>
        </w:rPr>
        <w:t>Für die weitere Ausarbeitung sollte die Vorstufe folgendermaßen formuliert werden:</w:t>
      </w:r>
    </w:p>
    <w:p>
      <w:r>
        <w:rPr>
          <w:rFonts w:ascii="Arial" w:hAnsi="Arial"/>
        </w:rPr>
        <w:t>Vor der eigentlichen JHWH-Monolatrie entstand Israel wahrscheinlich als sozioethnische Hochlandgruppe innerhalb Kanaans. Diese Gruppe war nicht religiös leer und auch nicht einheitlich. Sie stand im westsemitisch-kanaanäischen Religionsraum, in dem El, Aschera, Baal und lokale Kulte präsent waren. JHWH wurde in diesen Prozess integriert und entwickelte sich zum Identitäts- und Nationalgott Israels, wobei er später El-Titel und Baal-Funktionen aufnahm.</w:t>
      </w:r>
    </w:p>
    <w:p>
      <w:pPr>
        <w:pStyle w:val="Heading1"/>
      </w:pPr>
      <w:r>
        <w:t>10. Quellen</w:t>
      </w:r>
    </w:p>
    <w:p>
      <w:r>
        <w:rPr>
          <w:rFonts w:ascii="Arial" w:hAnsi="Arial"/>
        </w:rPr>
        <w:t>Hasel 1994: Michael G. Hasel, Israel in the Merneptah Stela, BASOR 296. https://www.journals.uchicago.edu/doi/10.2307/1357179</w:t>
      </w:r>
    </w:p>
    <w:p>
      <w:r>
        <w:rPr>
          <w:rFonts w:ascii="Arial" w:hAnsi="Arial"/>
        </w:rPr>
        <w:t>Faust 2015: Avraham Faust, The Emergence of Israel and Theories of Ethnogenesis. https://cris.haifa.ac.il/en/publications/the-emergence-of-israel-and-theories-of-ethnogenesis/</w:t>
      </w:r>
    </w:p>
    <w:p>
      <w:r>
        <w:rPr>
          <w:rFonts w:ascii="Arial" w:hAnsi="Arial"/>
        </w:rPr>
        <w:t>Faust 2015b: Avraham Faust, The Emergence of Iron Age Israel: On Origins and Habitus. https://www.researchgate.net/publication/302000745_The_Emergence_of_Iron_Age_Israel_On_Origins_and_Habitus</w:t>
      </w:r>
    </w:p>
    <w:p>
      <w:r>
        <w:rPr>
          <w:rFonts w:ascii="Arial" w:hAnsi="Arial"/>
        </w:rPr>
        <w:t>Dever 2005: William G. Dever / review context, Who Were the Early Israelites and Where Did They Come From?. https://www.journals.uchicago.edu/doi/epdf/10.1086/NEA25067600</w:t>
      </w:r>
    </w:p>
    <w:p>
      <w:r>
        <w:rPr>
          <w:rFonts w:ascii="Arial" w:hAnsi="Arial"/>
        </w:rPr>
        <w:t>Fleming 2020: Daniel E. Fleming, Yahweh before Israel, chapter Yhw of Shasu-Land. https://www.cambridge.org/core/books/abs/yahweh-before-israel/yhw-of-shasuland/119116DC7806AE299828B5D58EA06539</w:t>
      </w:r>
    </w:p>
    <w:p>
      <w:r>
        <w:rPr>
          <w:rFonts w:ascii="Arial" w:hAnsi="Arial"/>
        </w:rPr>
        <w:t>Lewis 2020: Theodore J. Lewis, The Origin of Yahweh. https://academic.oup.com/book/37440/chapter-abstract/331575152</w:t>
      </w:r>
    </w:p>
    <w:p>
      <w:pPr>
        <w:pStyle w:val="Heading1"/>
      </w:pPr>
      <w:r>
        <w:t>11. Technischer Hinweis</w:t>
      </w:r>
    </w:p>
    <w:p>
      <w:r>
        <w:rPr>
          <w:rFonts w:ascii="Arial" w:hAnsi="Arial"/>
        </w:rPr>
        <w:t>Die DOCX wurde mit einem Google-Docs-tauglichen, nüchternen Layout erstellt. Eine visuelle LibreOffice-Renderprüfung war nicht möglich, da soffice/LibreOffice in dieser Umgebung nicht verfügbar ist. Die Datei wurde strukturell geprüft und für den Google-Docs-Import vorbereitet.</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000000"/>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000000"/>
      <w:sz w:val="3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34343"/>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