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200"/>
        <w:jc w:val="center"/>
      </w:pPr>
      <w:r>
        <w:rPr>
          <w:rFonts w:ascii="Arial" w:hAnsi="Arial"/>
          <w:b/>
          <w:color w:val="0B2545"/>
          <w:sz w:val="56"/>
        </w:rPr>
        <w:t>BIBELANALYSE</w:t>
      </w:r>
    </w:p>
    <w:p>
      <w:pPr>
        <w:spacing w:after="160"/>
        <w:jc w:val="center"/>
      </w:pPr>
      <w:r>
        <w:rPr>
          <w:rFonts w:ascii="Arial" w:hAnsi="Arial"/>
          <w:b/>
          <w:color w:val="1F3A5F"/>
          <w:sz w:val="36"/>
        </w:rPr>
        <w:t>Vom goettlichen Rat zum Monotheismus</w:t>
      </w:r>
    </w:p>
    <w:p>
      <w:pPr>
        <w:spacing w:after="440"/>
        <w:jc w:val="center"/>
      </w:pPr>
      <w:r>
        <w:rPr>
          <w:rFonts w:ascii="Arial" w:hAnsi="Arial"/>
          <w:i/>
          <w:color w:val="444444"/>
          <w:sz w:val="25"/>
        </w:rPr>
        <w:t>Eine quellenkritische Untersuchung zu JHWH, El, Elohim, Aschera, Baal/Hadad, Anunnaki-Vergleichen und der Entstehung biblischer Ein-Gott-Theologie</w:t>
      </w:r>
    </w:p>
    <w:p>
      <w:pPr>
        <w:jc w:val="center"/>
        <w:pBdr>
          <w:bottom w:val="single" w:sz="10" w:space="4" w:color="0B2545"/>
        </w:pBdr>
      </w:pPr>
    </w:p>
    <w:tbl>
      <w:tblPr>
        <w:tblStyle w:val="TableGrid"/>
        <w:tblW w:type="dxa" w:w="9000"/>
        <w:jc w:val="left"/>
        <w:tblLayout w:type="fixed"/>
        <w:tblLook w:firstColumn="1" w:firstRow="1" w:lastColumn="0" w:lastRow="0" w:noHBand="0" w:noVBand="1" w:val="04A0"/>
      </w:tblPr>
      <w:tblGrid>
        <w:gridCol w:w="4586"/>
        <w:gridCol w:w="4586"/>
      </w:tblGrid>
      <w:tr>
        <w:trPr>
          <w:tblHeader w:val="true"/>
        </w:trPr>
        <w:tc>
          <w:tcPr>
            <w:tcW w:type="dxa" w:w="3000"/>
            <w:vAlign w:val="top"/>
            <w:shd w:fill="F1F3F4"/>
          </w:tcPr>
          <w:p>
            <w:r/>
            <w:r>
              <w:rPr>
                <w:rFonts w:ascii="Arial" w:hAnsi="Arial"/>
                <w:b/>
                <w:sz w:val="16"/>
              </w:rPr>
              <w:t>Feld</w:t>
            </w:r>
          </w:p>
        </w:tc>
        <w:tc>
          <w:tcPr>
            <w:tcW w:type="dxa" w:w="6000"/>
            <w:vAlign w:val="top"/>
            <w:shd w:fill="F1F3F4"/>
          </w:tcPr>
          <w:p>
            <w:r/>
            <w:r>
              <w:rPr>
                <w:rFonts w:ascii="Arial" w:hAnsi="Arial"/>
                <w:b/>
                <w:sz w:val="16"/>
              </w:rPr>
              <w:t>Angabe</w:t>
            </w:r>
          </w:p>
        </w:tc>
      </w:tr>
      <w:tr>
        <w:tc>
          <w:tcPr>
            <w:tcW w:type="dxa" w:w="3000"/>
            <w:vAlign w:val="top"/>
          </w:tcPr>
          <w:p>
            <w:r/>
            <w:r>
              <w:rPr>
                <w:rFonts w:ascii="Arial" w:hAnsi="Arial"/>
                <w:b w:val="0"/>
                <w:sz w:val="16"/>
              </w:rPr>
              <w:t>Dokumenttyp</w:t>
            </w:r>
          </w:p>
        </w:tc>
        <w:tc>
          <w:tcPr>
            <w:tcW w:type="dxa" w:w="6000"/>
            <w:vAlign w:val="top"/>
          </w:tcPr>
          <w:p>
            <w:r/>
            <w:r>
              <w:rPr>
                <w:rFonts w:ascii="Arial" w:hAnsi="Arial"/>
                <w:b w:val="0"/>
                <w:sz w:val="16"/>
              </w:rPr>
              <w:t>Validierte wissenschaftliche Lesefassung / Druckfassung V1</w:t>
            </w:r>
          </w:p>
        </w:tc>
      </w:tr>
      <w:tr>
        <w:tc>
          <w:tcPr>
            <w:tcW w:type="dxa" w:w="3000"/>
            <w:vAlign w:val="top"/>
          </w:tcPr>
          <w:p>
            <w:r/>
            <w:r>
              <w:rPr>
                <w:rFonts w:ascii="Arial" w:hAnsi="Arial"/>
                <w:b w:val="0"/>
                <w:sz w:val="16"/>
              </w:rPr>
              <w:t>Autor</w:t>
            </w:r>
          </w:p>
        </w:tc>
        <w:tc>
          <w:tcPr>
            <w:tcW w:type="dxa" w:w="6000"/>
            <w:vAlign w:val="top"/>
          </w:tcPr>
          <w:p>
            <w:r/>
            <w:r>
              <w:rPr>
                <w:rFonts w:ascii="Arial" w:hAnsi="Arial"/>
                <w:b w:val="0"/>
                <w:sz w:val="16"/>
              </w:rPr>
              <w:t>Cliff Assmann</w:t>
            </w:r>
          </w:p>
        </w:tc>
      </w:tr>
      <w:tr>
        <w:tc>
          <w:tcPr>
            <w:tcW w:type="dxa" w:w="3000"/>
            <w:vAlign w:val="top"/>
          </w:tcPr>
          <w:p>
            <w:r/>
            <w:r>
              <w:rPr>
                <w:rFonts w:ascii="Arial" w:hAnsi="Arial"/>
                <w:b w:val="0"/>
                <w:sz w:val="16"/>
              </w:rPr>
              <w:t>Projekt</w:t>
            </w:r>
          </w:p>
        </w:tc>
        <w:tc>
          <w:tcPr>
            <w:tcW w:type="dxa" w:w="6000"/>
            <w:vAlign w:val="top"/>
          </w:tcPr>
          <w:p>
            <w:r/>
            <w:r>
              <w:rPr>
                <w:rFonts w:ascii="Arial" w:hAnsi="Arial"/>
                <w:b w:val="0"/>
                <w:sz w:val="16"/>
              </w:rPr>
              <w:t>Bibelanalyse</w:t>
            </w:r>
          </w:p>
        </w:tc>
      </w:tr>
      <w:tr>
        <w:tc>
          <w:tcPr>
            <w:tcW w:type="dxa" w:w="3000"/>
            <w:vAlign w:val="top"/>
          </w:tcPr>
          <w:p>
            <w:r/>
            <w:r>
              <w:rPr>
                <w:rFonts w:ascii="Arial" w:hAnsi="Arial"/>
                <w:b w:val="0"/>
                <w:sz w:val="16"/>
              </w:rPr>
              <w:t>Arbeitsstand</w:t>
            </w:r>
          </w:p>
        </w:tc>
        <w:tc>
          <w:tcPr>
            <w:tcW w:type="dxa" w:w="6000"/>
            <w:vAlign w:val="top"/>
          </w:tcPr>
          <w:p>
            <w:r/>
            <w:r>
              <w:rPr>
                <w:rFonts w:ascii="Arial" w:hAnsi="Arial"/>
                <w:b w:val="0"/>
                <w:sz w:val="16"/>
              </w:rPr>
              <w:t>2026-07-22 21:10</w:t>
            </w:r>
          </w:p>
        </w:tc>
      </w:tr>
      <w:tr>
        <w:tc>
          <w:tcPr>
            <w:tcW w:type="dxa" w:w="3000"/>
            <w:vAlign w:val="top"/>
          </w:tcPr>
          <w:p>
            <w:r/>
            <w:r>
              <w:rPr>
                <w:rFonts w:ascii="Arial" w:hAnsi="Arial"/>
                <w:b w:val="0"/>
                <w:sz w:val="16"/>
              </w:rPr>
              <w:t>Leitthese</w:t>
            </w:r>
          </w:p>
        </w:tc>
        <w:tc>
          <w:tcPr>
            <w:tcW w:type="dxa" w:w="6000"/>
            <w:vAlign w:val="top"/>
          </w:tcPr>
          <w:p>
            <w:r/>
            <w:r>
              <w:rPr>
                <w:rFonts w:ascii="Arial" w:hAnsi="Arial"/>
                <w:b w:val="0"/>
                <w:sz w:val="16"/>
              </w:rPr>
              <w:t>Tragfaehig ist ein Transformationsmodell: Identifikation, Funktionsuebernahme, Synkretismus, Polemik und spaetere monotheistische Umdeutung; eine harte Universalidentitaet aller Gottheiten ist nicht belegt.</w:t>
            </w:r>
          </w:p>
        </w:tc>
      </w:tr>
      <w:tr>
        <w:tc>
          <w:tcPr>
            <w:tcW w:type="dxa" w:w="3000"/>
            <w:vAlign w:val="top"/>
          </w:tcPr>
          <w:p>
            <w:r/>
            <w:r>
              <w:rPr>
                <w:rFonts w:ascii="Arial" w:hAnsi="Arial"/>
                <w:b w:val="0"/>
                <w:sz w:val="16"/>
              </w:rPr>
              <w:t>Quellenbasis</w:t>
            </w:r>
          </w:p>
        </w:tc>
        <w:tc>
          <w:tcPr>
            <w:tcW w:type="dxa" w:w="6000"/>
            <w:vAlign w:val="top"/>
          </w:tcPr>
          <w:p>
            <w:r/>
            <w:r>
              <w:rPr>
                <w:rFonts w:ascii="Arial" w:hAnsi="Arial"/>
                <w:b w:val="0"/>
                <w:sz w:val="16"/>
              </w:rPr>
              <w:t>Biblische Texte, Textvarianten, Ugarit, Epigraphik/Archaeologie, Second-Temple-Literatur, DSS, altorientalische Vergleichstexte, Forschungsliteratur und eigene Arbeitsdossiers.</w:t>
            </w:r>
          </w:p>
        </w:tc>
      </w:tr>
    </w:tbl>
    <w:p>
      <w:pPr>
        <w:spacing w:before="520"/>
        <w:jc w:val="center"/>
      </w:pPr>
      <w:r>
        <w:rPr>
          <w:rFonts w:ascii="Arial" w:hAnsi="Arial"/>
          <w:i/>
          <w:color w:val="666666"/>
          <w:sz w:val="19"/>
        </w:rPr>
        <w:t>Druckhinweis: Hauptarbeit zusammen mit Anlagen A-N als Quellen- und Arbeitsanhang aufbewahren; fuer die normale Lesefassung reicht der Hauptband.</w:t>
      </w:r>
    </w:p>
    <w:p>
      <w:r>
        <w:br w:type="page"/>
      </w:r>
    </w:p>
    <w:p>
      <w:pPr>
        <w:pStyle w:val="Heading1"/>
      </w:pPr>
      <w:r>
        <w:t>Abstract, Leitthese und Vorgehensweise</w:t>
      </w:r>
    </w:p>
    <w:p>
      <w:r>
        <w:rPr>
          <w:rFonts w:ascii="Arial" w:hAnsi="Arial"/>
        </w:rPr>
        <w:t>Diese Arbeit untersucht die Entwicklung von pluralen altorientalischen und westsemitischen Gottesvorstellungen hin zur biblischen und spaeter abrahamitischen Ein-Gott-Theologie. Ausgangspunkt war die Arbeitsthese, dass JHWH, El, Elohim, Baal/Hadad, Marduk, Anunnaki und weitere Gottheiten moeglicherweise ein und dieselbe Gottheit unter wechselnden Namen darstellen koennten. Die Untersuchung nimmt diese These ernst, prueft sie aber quellenkritisch gegen biblische Texte, Textvarianten, ugaritische Vergleichstexte, Inschriften, Archaeologie, Second-Temple-Literatur, mesopotamische Materialien und moderne Forschung.</w:t>
      </w:r>
    </w:p>
    <w:p>
      <w:r>
        <w:rPr>
          <w:rFonts w:ascii="Arial" w:hAnsi="Arial"/>
        </w:rPr>
        <w:t>Das Ergebnis lautet differenziert: Die harte Identitaetsthese, nach der alle genannten Gottheiten historisch einfach derselbe Gott mit verschiedenen Namen seien, ist nicht belegt. Stark plausibel ist dagegen ein Transformationsmodell. JHWH wird im israelitischen Traditionsprozess mit El identifiziert, uebernimmt El-Titel und Hochgottfunktionen, absorbiert Baal/Hadad-Motive, verdraengt oder unterordnet andere goettliche Wesen und wird in spaeteren monotheistischen Deutungen als einziger universaler Gott verstanden. Anunnaki, Marduk und weitere Gottheiten sind deshalb als Vergleichs-, Einfluss-, Struktur- oder Abgrenzungsfragen zu behandeln, nicht als direkte Identitaetsbelege.</w:t>
      </w:r>
    </w:p>
    <w:p>
      <w:r>
        <w:rPr>
          <w:rFonts w:ascii="Arial" w:hAnsi="Arial"/>
        </w:rPr>
        <w:t>Die Herangehensweise folgt einer Quellenhierarchie. Zuerst werden Primaertexte und Textvarianten ausgewertet, danach Inschriften und archaeologische Befunde, anschliessend ugaritische und mesopotamische Vergleichsfelder, dann Second-Temple- und apokalyptische Umdeutungen. Moderne Fachliteratur dient zur Einordnung des Forschungsstandes. Eigene Ueberlegungen und fruehere Arbeitsdokumente werden nur dann in den Hauptgang uebernommen, wenn sie durch belastbare Quellen oder als klar markierte Plausibilitaetsrekonstruktionen getragen werden.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Beleggrad</w:t>
            </w:r>
          </w:p>
        </w:tc>
        <w:tc>
          <w:tcPr>
            <w:tcW w:type="dxa" w:w="3300"/>
            <w:vAlign w:val="top"/>
            <w:shd w:fill="F1F3F4"/>
          </w:tcPr>
          <w:p>
            <w:r/>
            <w:r>
              <w:rPr>
                <w:rFonts w:ascii="Arial" w:hAnsi="Arial"/>
                <w:b/>
                <w:sz w:val="16"/>
              </w:rPr>
              <w:t>Kriterium</w:t>
            </w:r>
          </w:p>
        </w:tc>
        <w:tc>
          <w:tcPr>
            <w:tcW w:type="dxa" w:w="3300"/>
            <w:vAlign w:val="top"/>
            <w:shd w:fill="F1F3F4"/>
          </w:tcPr>
          <w:p>
            <w:r/>
            <w:r>
              <w:rPr>
                <w:rFonts w:ascii="Arial" w:hAnsi="Arial"/>
                <w:b/>
                <w:sz w:val="16"/>
              </w:rPr>
              <w:t>Formulierung in der Arbeit</w:t>
            </w:r>
          </w:p>
        </w:tc>
      </w:tr>
      <w:tr>
        <w:tc>
          <w:tcPr>
            <w:tcW w:type="dxa" w:w="2400"/>
            <w:vAlign w:val="top"/>
          </w:tcPr>
          <w:p>
            <w:r/>
            <w:r>
              <w:rPr>
                <w:rFonts w:ascii="Arial" w:hAnsi="Arial"/>
                <w:b w:val="0"/>
                <w:sz w:val="16"/>
              </w:rPr>
              <w:t>Belegt</w:t>
            </w:r>
          </w:p>
        </w:tc>
        <w:tc>
          <w:tcPr>
            <w:tcW w:type="dxa" w:w="3300"/>
            <w:vAlign w:val="top"/>
          </w:tcPr>
          <w:p>
            <w:r/>
            <w:r>
              <w:rPr>
                <w:rFonts w:ascii="Arial" w:hAnsi="Arial"/>
                <w:b w:val="0"/>
                <w:sz w:val="16"/>
              </w:rPr>
              <w:t>Direkter Text-, Inschriften-, Textvarianten- oder archaeologischer Befund.</w:t>
            </w:r>
          </w:p>
        </w:tc>
        <w:tc>
          <w:tcPr>
            <w:tcW w:type="dxa" w:w="3300"/>
            <w:vAlign w:val="top"/>
          </w:tcPr>
          <w:p>
            <w:r/>
            <w:r>
              <w:rPr>
                <w:rFonts w:ascii="Arial" w:hAnsi="Arial"/>
                <w:b w:val="0"/>
                <w:sz w:val="16"/>
              </w:rPr>
              <w:t>Als Befund formulieren.</w:t>
            </w:r>
          </w:p>
        </w:tc>
      </w:tr>
      <w:tr>
        <w:tc>
          <w:tcPr>
            <w:tcW w:type="dxa" w:w="2400"/>
            <w:vAlign w:val="top"/>
          </w:tcPr>
          <w:p>
            <w:r/>
            <w:r>
              <w:rPr>
                <w:rFonts w:ascii="Arial" w:hAnsi="Arial"/>
                <w:b w:val="0"/>
                <w:sz w:val="16"/>
              </w:rPr>
              <w:t>Stark plausibel</w:t>
            </w:r>
          </w:p>
        </w:tc>
        <w:tc>
          <w:tcPr>
            <w:tcW w:type="dxa" w:w="3300"/>
            <w:vAlign w:val="top"/>
          </w:tcPr>
          <w:p>
            <w:r/>
            <w:r>
              <w:rPr>
                <w:rFonts w:ascii="Arial" w:hAnsi="Arial"/>
                <w:b w:val="0"/>
                <w:sz w:val="16"/>
              </w:rPr>
              <w:t>Mehrere unabhaengige Quellenfelder weisen in dieselbe Richtung.</w:t>
            </w:r>
          </w:p>
        </w:tc>
        <w:tc>
          <w:tcPr>
            <w:tcW w:type="dxa" w:w="3300"/>
            <w:vAlign w:val="top"/>
          </w:tcPr>
          <w:p>
            <w:r/>
            <w:r>
              <w:rPr>
                <w:rFonts w:ascii="Arial" w:hAnsi="Arial"/>
                <w:b w:val="0"/>
                <w:sz w:val="16"/>
              </w:rPr>
              <w:t>Als wahrscheinlichste Rekonstruktion formulieren.</w:t>
            </w:r>
          </w:p>
        </w:tc>
      </w:tr>
      <w:tr>
        <w:tc>
          <w:tcPr>
            <w:tcW w:type="dxa" w:w="2400"/>
            <w:vAlign w:val="top"/>
          </w:tcPr>
          <w:p>
            <w:r/>
            <w:r>
              <w:rPr>
                <w:rFonts w:ascii="Arial" w:hAnsi="Arial"/>
                <w:b w:val="0"/>
                <w:sz w:val="16"/>
              </w:rPr>
              <w:t>Strittig</w:t>
            </w:r>
          </w:p>
        </w:tc>
        <w:tc>
          <w:tcPr>
            <w:tcW w:type="dxa" w:w="3300"/>
            <w:vAlign w:val="top"/>
          </w:tcPr>
          <w:p>
            <w:r/>
            <w:r>
              <w:rPr>
                <w:rFonts w:ascii="Arial" w:hAnsi="Arial"/>
                <w:b w:val="0"/>
                <w:sz w:val="16"/>
              </w:rPr>
              <w:t>Mehrere Deutungen sind wissenschaftlich vertretbar.</w:t>
            </w:r>
          </w:p>
        </w:tc>
        <w:tc>
          <w:tcPr>
            <w:tcW w:type="dxa" w:w="3300"/>
            <w:vAlign w:val="top"/>
          </w:tcPr>
          <w:p>
            <w:r/>
            <w:r>
              <w:rPr>
                <w:rFonts w:ascii="Arial" w:hAnsi="Arial"/>
                <w:b w:val="0"/>
                <w:sz w:val="16"/>
              </w:rPr>
              <w:t>Gegenposition sichtbar halten.</w:t>
            </w:r>
          </w:p>
        </w:tc>
      </w:tr>
      <w:tr>
        <w:tc>
          <w:tcPr>
            <w:tcW w:type="dxa" w:w="2400"/>
            <w:vAlign w:val="top"/>
          </w:tcPr>
          <w:p>
            <w:r/>
            <w:r>
              <w:rPr>
                <w:rFonts w:ascii="Arial" w:hAnsi="Arial"/>
                <w:b w:val="0"/>
                <w:sz w:val="16"/>
              </w:rPr>
              <w:t>Nicht belegt</w:t>
            </w:r>
          </w:p>
        </w:tc>
        <w:tc>
          <w:tcPr>
            <w:tcW w:type="dxa" w:w="3300"/>
            <w:vAlign w:val="top"/>
          </w:tcPr>
          <w:p>
            <w:r/>
            <w:r>
              <w:rPr>
                <w:rFonts w:ascii="Arial" w:hAnsi="Arial"/>
                <w:b w:val="0"/>
                <w:sz w:val="16"/>
              </w:rPr>
              <w:t>Keine tragfaehige Quellenbruecke.</w:t>
            </w:r>
          </w:p>
        </w:tc>
        <w:tc>
          <w:tcPr>
            <w:tcW w:type="dxa" w:w="3300"/>
            <w:vAlign w:val="top"/>
          </w:tcPr>
          <w:p>
            <w:r/>
            <w:r>
              <w:rPr>
                <w:rFonts w:ascii="Arial" w:hAnsi="Arial"/>
                <w:b w:val="0"/>
                <w:sz w:val="16"/>
              </w:rPr>
              <w:t>Nicht als Ergebnis, sondern als verworfene These fuehren.</w:t>
            </w:r>
          </w:p>
        </w:tc>
      </w:tr>
      <w:tr>
        <w:tc>
          <w:tcPr>
            <w:tcW w:type="dxa" w:w="2400"/>
            <w:vAlign w:val="top"/>
          </w:tcPr>
          <w:p>
            <w:r/>
            <w:r>
              <w:rPr>
                <w:rFonts w:ascii="Arial" w:hAnsi="Arial"/>
                <w:b w:val="0"/>
                <w:sz w:val="16"/>
              </w:rPr>
              <w:t>Werturteil</w:t>
            </w:r>
          </w:p>
        </w:tc>
        <w:tc>
          <w:tcPr>
            <w:tcW w:type="dxa" w:w="3300"/>
            <w:vAlign w:val="top"/>
          </w:tcPr>
          <w:p>
            <w:r/>
            <w:r>
              <w:rPr>
                <w:rFonts w:ascii="Arial" w:hAnsi="Arial"/>
                <w:b w:val="0"/>
                <w:sz w:val="16"/>
              </w:rPr>
              <w:t>Ethische oder theologische Bewertung.</w:t>
            </w:r>
          </w:p>
        </w:tc>
        <w:tc>
          <w:tcPr>
            <w:tcW w:type="dxa" w:w="3300"/>
            <w:vAlign w:val="top"/>
          </w:tcPr>
          <w:p>
            <w:r/>
            <w:r>
              <w:rPr>
                <w:rFonts w:ascii="Arial" w:hAnsi="Arial"/>
                <w:b w:val="0"/>
                <w:sz w:val="16"/>
              </w:rPr>
              <w:t>Vom historischen Befund trennen.</w:t>
            </w:r>
          </w:p>
        </w:tc>
      </w:tr>
    </w:tbl>
    <w:p>
      <w:r>
        <w:br w:type="page"/>
      </w:r>
    </w:p>
    <w:p>
      <w:pPr>
        <w:pStyle w:val="Heading1"/>
      </w:pPr>
      <w:r>
        <w:t>Inhaltsverzeichnis</w:t>
      </w:r>
    </w:p>
    <w:p>
      <w:r>
        <w:fldChar w:fldCharType="begin"/>
        <w:instrText xml:space="preserve">TOC \o "1-1" \h \z \u</w:instrText>
        <w:fldChar w:fldCharType="separate"/>
        <w:t>Inhaltsverzeichnis aktualisieren: In Word Rechtsklick auf dieses Feld -&gt; Felder aktualisieren.</w:t>
        <w:fldChar w:fldCharType="end"/>
      </w:r>
    </w:p>
    <w:p>
      <w:pPr>
        <w:pStyle w:val="Heading2"/>
      </w:pPr>
      <w:r>
        <w:t>Kurzgliederung fuer das Prueflesen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Bereich</w:t>
            </w:r>
          </w:p>
        </w:tc>
        <w:tc>
          <w:tcPr>
            <w:tcW w:type="dxa" w:w="3300"/>
            <w:vAlign w:val="top"/>
            <w:shd w:fill="F1F3F4"/>
          </w:tcPr>
          <w:p>
            <w:r/>
            <w:r>
              <w:rPr>
                <w:rFonts w:ascii="Arial" w:hAnsi="Arial"/>
                <w:b/>
                <w:sz w:val="16"/>
              </w:rPr>
              <w:t>Inhalt</w:t>
            </w:r>
          </w:p>
        </w:tc>
        <w:tc>
          <w:tcPr>
            <w:tcW w:type="dxa" w:w="3300"/>
            <w:vAlign w:val="top"/>
            <w:shd w:fill="F1F3F4"/>
          </w:tcPr>
          <w:p>
            <w:r/>
            <w:r>
              <w:rPr>
                <w:rFonts w:ascii="Arial" w:hAnsi="Arial"/>
                <w:b/>
                <w:sz w:val="16"/>
              </w:rPr>
              <w:t>Funktion</w:t>
            </w:r>
          </w:p>
        </w:tc>
      </w:tr>
      <w:tr>
        <w:tc>
          <w:tcPr>
            <w:tcW w:type="dxa" w:w="2400"/>
            <w:vAlign w:val="top"/>
          </w:tcPr>
          <w:p>
            <w:r/>
            <w:r>
              <w:rPr>
                <w:rFonts w:ascii="Arial" w:hAnsi="Arial"/>
                <w:b w:val="0"/>
                <w:sz w:val="16"/>
              </w:rPr>
              <w:t>Frontmatter</w:t>
            </w:r>
          </w:p>
        </w:tc>
        <w:tc>
          <w:tcPr>
            <w:tcW w:type="dxa" w:w="3300"/>
            <w:vAlign w:val="top"/>
          </w:tcPr>
          <w:p>
            <w:r/>
            <w:r>
              <w:rPr>
                <w:rFonts w:ascii="Arial" w:hAnsi="Arial"/>
                <w:b w:val="0"/>
                <w:sz w:val="16"/>
              </w:rPr>
              <w:t>Anlagenverzeichnis, Bearbeitungsstand und Leseregeln.</w:t>
            </w:r>
          </w:p>
        </w:tc>
        <w:tc>
          <w:tcPr>
            <w:tcW w:type="dxa" w:w="3300"/>
            <w:vAlign w:val="top"/>
          </w:tcPr>
          <w:p>
            <w:r/>
            <w:r>
              <w:rPr>
                <w:rFonts w:ascii="Arial" w:hAnsi="Arial"/>
                <w:b w:val="0"/>
                <w:sz w:val="16"/>
              </w:rPr>
              <w:t>Orientierung: Welche Materialien sind verarbeitet und welchen Status hat die Fassung?</w:t>
            </w:r>
          </w:p>
        </w:tc>
      </w:tr>
      <w:tr>
        <w:tc>
          <w:tcPr>
            <w:tcW w:type="dxa" w:w="2400"/>
            <w:vAlign w:val="top"/>
          </w:tcPr>
          <w:p>
            <w:r/>
            <w:r>
              <w:rPr>
                <w:rFonts w:ascii="Arial" w:hAnsi="Arial"/>
                <w:b w:val="0"/>
                <w:sz w:val="16"/>
              </w:rPr>
              <w:t>Kapitel 1-8</w:t>
            </w:r>
          </w:p>
        </w:tc>
        <w:tc>
          <w:tcPr>
            <w:tcW w:type="dxa" w:w="3300"/>
            <w:vAlign w:val="top"/>
          </w:tcPr>
          <w:p>
            <w:r/>
            <w:r>
              <w:rPr>
                <w:rFonts w:ascii="Arial" w:hAnsi="Arial"/>
                <w:b w:val="0"/>
                <w:sz w:val="16"/>
              </w:rPr>
              <w:t>Sachkapitel zu Entstehung Israels, goettlichem Rat, Ugarit, Aschera, Baal/Hadad, Second-Temple-Umdeutung, Anunnaki/Nephilim sowie Gewalt/Opfer/Gericht.</w:t>
            </w:r>
          </w:p>
        </w:tc>
        <w:tc>
          <w:tcPr>
            <w:tcW w:type="dxa" w:w="3300"/>
            <w:vAlign w:val="top"/>
          </w:tcPr>
          <w:p>
            <w:r/>
            <w:r>
              <w:rPr>
                <w:rFonts w:ascii="Arial" w:hAnsi="Arial"/>
                <w:b w:val="0"/>
                <w:sz w:val="16"/>
              </w:rPr>
              <w:t>Kernantworten auf die historischen, textkritischen und religionsgeschichtlichen Leitfragen.</w:t>
            </w:r>
          </w:p>
        </w:tc>
      </w:tr>
      <w:tr>
        <w:tc>
          <w:tcPr>
            <w:tcW w:type="dxa" w:w="2400"/>
            <w:vAlign w:val="top"/>
          </w:tcPr>
          <w:p>
            <w:r/>
            <w:r>
              <w:rPr>
                <w:rFonts w:ascii="Arial" w:hAnsi="Arial"/>
                <w:b w:val="0"/>
                <w:sz w:val="16"/>
              </w:rPr>
              <w:t>Kapitel 9</w:t>
            </w:r>
          </w:p>
        </w:tc>
        <w:tc>
          <w:tcPr>
            <w:tcW w:type="dxa" w:w="3300"/>
            <w:vAlign w:val="top"/>
          </w:tcPr>
          <w:p>
            <w:r/>
            <w:r>
              <w:rPr>
                <w:rFonts w:ascii="Arial" w:hAnsi="Arial"/>
                <w:b w:val="0"/>
                <w:sz w:val="16"/>
              </w:rPr>
              <w:t>Gesamtsynthese und Thesenmatrix.</w:t>
            </w:r>
          </w:p>
        </w:tc>
        <w:tc>
          <w:tcPr>
            <w:tcW w:type="dxa" w:w="3300"/>
            <w:vAlign w:val="top"/>
          </w:tcPr>
          <w:p>
            <w:r/>
            <w:r>
              <w:rPr>
                <w:rFonts w:ascii="Arial" w:hAnsi="Arial"/>
                <w:b w:val="0"/>
                <w:sz w:val="16"/>
              </w:rPr>
              <w:t>Verdichtung der Hauptthese: Transformationsmodell statt einfacher Universalidentitaet.</w:t>
            </w:r>
          </w:p>
        </w:tc>
      </w:tr>
      <w:tr>
        <w:tc>
          <w:tcPr>
            <w:tcW w:type="dxa" w:w="2400"/>
            <w:vAlign w:val="top"/>
          </w:tcPr>
          <w:p>
            <w:r/>
            <w:r>
              <w:rPr>
                <w:rFonts w:ascii="Arial" w:hAnsi="Arial"/>
                <w:b w:val="0"/>
                <w:sz w:val="16"/>
              </w:rPr>
              <w:t>Kapitel 10-14</w:t>
            </w:r>
          </w:p>
        </w:tc>
        <w:tc>
          <w:tcPr>
            <w:tcW w:type="dxa" w:w="3300"/>
            <w:vAlign w:val="top"/>
          </w:tcPr>
          <w:p>
            <w:r/>
            <w:r>
              <w:rPr>
                <w:rFonts w:ascii="Arial" w:hAnsi="Arial"/>
                <w:b w:val="0"/>
                <w:sz w:val="16"/>
              </w:rPr>
              <w:t>Redaktionsrahmen, Literaturapparat, Fussnotenpilot und Druckfassungsfahrplan.</w:t>
            </w:r>
          </w:p>
        </w:tc>
        <w:tc>
          <w:tcPr>
            <w:tcW w:type="dxa" w:w="3300"/>
            <w:vAlign w:val="top"/>
          </w:tcPr>
          <w:p>
            <w:r/>
            <w:r>
              <w:rPr>
                <w:rFonts w:ascii="Arial" w:hAnsi="Arial"/>
                <w:b w:val="0"/>
                <w:sz w:val="16"/>
              </w:rPr>
              <w:t>Methodische Kontrolle fuer Quellen, Beleggrade, Schlussurteil und Layout-Endfassung.</w:t>
            </w:r>
          </w:p>
        </w:tc>
      </w:tr>
      <w:tr>
        <w:tc>
          <w:tcPr>
            <w:tcW w:type="dxa" w:w="2400"/>
            <w:vAlign w:val="top"/>
          </w:tcPr>
          <w:p>
            <w:r/>
            <w:r>
              <w:rPr>
                <w:rFonts w:ascii="Arial" w:hAnsi="Arial"/>
                <w:b w:val="0"/>
                <w:sz w:val="16"/>
              </w:rPr>
              <w:t>Nachlaufbereiche</w:t>
            </w:r>
          </w:p>
        </w:tc>
        <w:tc>
          <w:tcPr>
            <w:tcW w:type="dxa" w:w="3300"/>
            <w:vAlign w:val="top"/>
          </w:tcPr>
          <w:p>
            <w:r/>
            <w:r>
              <w:rPr>
                <w:rFonts w:ascii="Arial" w:hAnsi="Arial"/>
                <w:b w:val="0"/>
                <w:sz w:val="16"/>
              </w:rPr>
              <w:t>Zentrale Thesenmatrix, gekuerzte Synthesen, Zitations- und Bibliographie-Normalisierung, Archiv- und Pflegehinweise.</w:t>
            </w:r>
          </w:p>
        </w:tc>
        <w:tc>
          <w:tcPr>
            <w:tcW w:type="dxa" w:w="3300"/>
            <w:vAlign w:val="top"/>
          </w:tcPr>
          <w:p>
            <w:r/>
            <w:r>
              <w:rPr>
                <w:rFonts w:ascii="Arial" w:hAnsi="Arial"/>
                <w:b w:val="0"/>
                <w:sz w:val="16"/>
              </w:rPr>
              <w:t>Arbeits- und Nachweisbereich; nicht als neuer, gleichrangiger Sachhauptteil zu lesen.</w:t>
            </w:r>
          </w:p>
        </w:tc>
      </w:tr>
    </w:tbl>
    <w:p>
      <w:r>
        <w:br w:type="page"/>
      </w:r>
    </w:p>
    <w:p>
      <w:pPr>
        <w:pStyle w:val="Heading1"/>
      </w:pPr>
      <w:r>
        <w:t>Druck- und Anlagenhinweis</w:t>
      </w:r>
    </w:p>
    <w:p>
      <w:r>
        <w:rPr>
          <w:rFonts w:ascii="Arial" w:hAnsi="Arial"/>
        </w:rPr>
        <w:t>Die vorliegende Druckfassung besteht aus einem Hauptband und einem Anlagen-/Quellenapparat. Fuer das fortlaufende Lesen, Pruefen und Weitergeben sollte zuerst der Hauptband gedruckt werden. Die Anlagen muessen nicht alle zwingend im selben Exemplar mitgedruckt werden; sie gehoeren aber als Nachweis- und Arbeitskorpus zum Projekt und sollten digital oder in einem separaten Anlagenband verfuegbar bleiben.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Teil</w:t>
            </w:r>
          </w:p>
        </w:tc>
        <w:tc>
          <w:tcPr>
            <w:tcW w:type="dxa" w:w="2500"/>
            <w:vAlign w:val="top"/>
            <w:shd w:fill="F1F3F4"/>
          </w:tcPr>
          <w:p>
            <w:r/>
            <w:r>
              <w:rPr>
                <w:rFonts w:ascii="Arial" w:hAnsi="Arial"/>
                <w:b/>
                <w:sz w:val="16"/>
              </w:rPr>
              <w:t>Inhalt</w:t>
            </w:r>
          </w:p>
        </w:tc>
        <w:tc>
          <w:tcPr>
            <w:tcW w:type="dxa" w:w="3200"/>
            <w:vAlign w:val="top"/>
            <w:shd w:fill="F1F3F4"/>
          </w:tcPr>
          <w:p>
            <w:r/>
            <w:r>
              <w:rPr>
                <w:rFonts w:ascii="Arial" w:hAnsi="Arial"/>
                <w:b/>
                <w:sz w:val="16"/>
              </w:rPr>
              <w:t>Druckempfehlung</w:t>
            </w:r>
          </w:p>
        </w:tc>
        <w:tc>
          <w:tcPr>
            <w:tcW w:type="dxa" w:w="1500"/>
            <w:vAlign w:val="top"/>
            <w:shd w:fill="F1F3F4"/>
          </w:tcPr>
          <w:p>
            <w:r/>
            <w:r>
              <w:rPr>
                <w:rFonts w:ascii="Arial" w:hAnsi="Arial"/>
                <w:b/>
                <w:sz w:val="16"/>
              </w:rPr>
              <w:t>Begruendung</w:t>
            </w:r>
          </w:p>
        </w:tc>
      </w:tr>
      <w:tr>
        <w:tc>
          <w:tcPr>
            <w:tcW w:type="dxa" w:w="1800"/>
            <w:vAlign w:val="top"/>
          </w:tcPr>
          <w:p>
            <w:r/>
            <w:r>
              <w:rPr>
                <w:rFonts w:ascii="Arial" w:hAnsi="Arial"/>
                <w:b w:val="0"/>
                <w:sz w:val="16"/>
              </w:rPr>
              <w:t>Hauptband</w:t>
            </w:r>
          </w:p>
        </w:tc>
        <w:tc>
          <w:tcPr>
            <w:tcW w:type="dxa" w:w="2500"/>
            <w:vAlign w:val="top"/>
          </w:tcPr>
          <w:p>
            <w:r/>
            <w:r>
              <w:rPr>
                <w:rFonts w:ascii="Arial" w:hAnsi="Arial"/>
                <w:b w:val="0"/>
                <w:sz w:val="16"/>
              </w:rPr>
              <w:t>Dieses Dokument</w:t>
            </w:r>
          </w:p>
        </w:tc>
        <w:tc>
          <w:tcPr>
            <w:tcW w:type="dxa" w:w="3200"/>
            <w:vAlign w:val="top"/>
          </w:tcPr>
          <w:p>
            <w:r/>
            <w:r>
              <w:rPr>
                <w:rFonts w:ascii="Arial" w:hAnsi="Arial"/>
                <w:b w:val="0"/>
                <w:sz w:val="16"/>
              </w:rPr>
              <w:t>Ja</w:t>
            </w:r>
          </w:p>
        </w:tc>
        <w:tc>
          <w:tcPr>
            <w:tcW w:type="dxa" w:w="1500"/>
            <w:vAlign w:val="top"/>
          </w:tcPr>
          <w:p>
            <w:r/>
            <w:r>
              <w:rPr>
                <w:rFonts w:ascii="Arial" w:hAnsi="Arial"/>
                <w:b w:val="0"/>
                <w:sz w:val="16"/>
              </w:rPr>
              <w:t>Zentrale wissenschaftliche Lesefassung mit These, Methode, Kapitel 1-14, Synthese, Bibliographie, Anlagenverzeichnis und Schlussstatus.</w:t>
            </w:r>
          </w:p>
        </w:tc>
      </w:tr>
      <w:tr>
        <w:tc>
          <w:tcPr>
            <w:tcW w:type="dxa" w:w="1800"/>
            <w:vAlign w:val="top"/>
          </w:tcPr>
          <w:p>
            <w:r/>
            <w:r>
              <w:rPr>
                <w:rFonts w:ascii="Arial" w:hAnsi="Arial"/>
                <w:b w:val="0"/>
                <w:sz w:val="16"/>
              </w:rPr>
              <w:t>Anlagen A-C/G</w:t>
            </w:r>
          </w:p>
        </w:tc>
        <w:tc>
          <w:tcPr>
            <w:tcW w:type="dxa" w:w="2500"/>
            <w:vAlign w:val="top"/>
          </w:tcPr>
          <w:p>
            <w:r/>
            <w:r>
              <w:rPr>
                <w:rFonts w:ascii="Arial" w:hAnsi="Arial"/>
                <w:b w:val="0"/>
                <w:sz w:val="16"/>
              </w:rPr>
              <w:t>Fruehe EL/JHWH-Auswertungen und Grundlagendokumente</w:t>
            </w:r>
          </w:p>
        </w:tc>
        <w:tc>
          <w:tcPr>
            <w:tcW w:type="dxa" w:w="3200"/>
            <w:vAlign w:val="top"/>
          </w:tcPr>
          <w:p>
            <w:r/>
            <w:r>
              <w:rPr>
                <w:rFonts w:ascii="Arial" w:hAnsi="Arial"/>
                <w:b w:val="0"/>
                <w:sz w:val="16"/>
              </w:rPr>
              <w:t>Optional als Anlagenband</w:t>
            </w:r>
          </w:p>
        </w:tc>
        <w:tc>
          <w:tcPr>
            <w:tcW w:type="dxa" w:w="1500"/>
            <w:vAlign w:val="top"/>
          </w:tcPr>
          <w:p>
            <w:r/>
            <w:r>
              <w:rPr>
                <w:rFonts w:ascii="Arial" w:hAnsi="Arial"/>
                <w:b w:val="0"/>
                <w:sz w:val="16"/>
              </w:rPr>
              <w:t>Wichtig fuer Nachvollziehbarkeit der Ausgangsthese und ihrer Weiterentwicklung.</w:t>
            </w:r>
          </w:p>
        </w:tc>
      </w:tr>
      <w:tr>
        <w:tc>
          <w:tcPr>
            <w:tcW w:type="dxa" w:w="1800"/>
            <w:vAlign w:val="top"/>
          </w:tcPr>
          <w:p>
            <w:r/>
            <w:r>
              <w:rPr>
                <w:rFonts w:ascii="Arial" w:hAnsi="Arial"/>
                <w:b w:val="0"/>
                <w:sz w:val="16"/>
              </w:rPr>
              <w:t>Anlagen B/H/I/J/K</w:t>
            </w:r>
          </w:p>
        </w:tc>
        <w:tc>
          <w:tcPr>
            <w:tcW w:type="dxa" w:w="2500"/>
            <w:vAlign w:val="top"/>
          </w:tcPr>
          <w:p>
            <w:r/>
            <w:r>
              <w:rPr>
                <w:rFonts w:ascii="Arial" w:hAnsi="Arial"/>
                <w:b w:val="0"/>
                <w:sz w:val="16"/>
              </w:rPr>
              <w:t>Forschungsplan, Vorstufe, Stufenmodell, goettlicher Rat</w:t>
            </w:r>
          </w:p>
        </w:tc>
        <w:tc>
          <w:tcPr>
            <w:tcW w:type="dxa" w:w="3200"/>
            <w:vAlign w:val="top"/>
          </w:tcPr>
          <w:p>
            <w:r/>
            <w:r>
              <w:rPr>
                <w:rFonts w:ascii="Arial" w:hAnsi="Arial"/>
                <w:b w:val="0"/>
                <w:sz w:val="16"/>
              </w:rPr>
              <w:t>Empfohlen</w:t>
            </w:r>
          </w:p>
        </w:tc>
        <w:tc>
          <w:tcPr>
            <w:tcW w:type="dxa" w:w="1500"/>
            <w:vAlign w:val="top"/>
          </w:tcPr>
          <w:p>
            <w:r/>
            <w:r>
              <w:rPr>
                <w:rFonts w:ascii="Arial" w:hAnsi="Arial"/>
                <w:b w:val="0"/>
                <w:sz w:val="16"/>
              </w:rPr>
              <w:t>Methodisch wichtig; bei wissenschaftlicher Pruefung mitfuehren.</w:t>
            </w:r>
          </w:p>
        </w:tc>
      </w:tr>
      <w:tr>
        <w:tc>
          <w:tcPr>
            <w:tcW w:type="dxa" w:w="1800"/>
            <w:vAlign w:val="top"/>
          </w:tcPr>
          <w:p>
            <w:r/>
            <w:r>
              <w:rPr>
                <w:rFonts w:ascii="Arial" w:hAnsi="Arial"/>
                <w:b w:val="0"/>
                <w:sz w:val="16"/>
              </w:rPr>
              <w:t>Anlagen D/E/F</w:t>
            </w:r>
          </w:p>
        </w:tc>
        <w:tc>
          <w:tcPr>
            <w:tcW w:type="dxa" w:w="2500"/>
            <w:vAlign w:val="top"/>
          </w:tcPr>
          <w:p>
            <w:r/>
            <w:r>
              <w:rPr>
                <w:rFonts w:ascii="Arial" w:hAnsi="Arial"/>
                <w:b w:val="0"/>
                <w:sz w:val="16"/>
              </w:rPr>
              <w:t>Video-/PDF-/Anunnaki-Material</w:t>
            </w:r>
          </w:p>
        </w:tc>
        <w:tc>
          <w:tcPr>
            <w:tcW w:type="dxa" w:w="3200"/>
            <w:vAlign w:val="top"/>
          </w:tcPr>
          <w:p>
            <w:r/>
            <w:r>
              <w:rPr>
                <w:rFonts w:ascii="Arial" w:hAnsi="Arial"/>
                <w:b w:val="0"/>
                <w:sz w:val="16"/>
              </w:rPr>
              <w:t>Optional</w:t>
            </w:r>
          </w:p>
        </w:tc>
        <w:tc>
          <w:tcPr>
            <w:tcW w:type="dxa" w:w="1500"/>
            <w:vAlign w:val="top"/>
          </w:tcPr>
          <w:p>
            <w:r/>
            <w:r>
              <w:rPr>
                <w:rFonts w:ascii="Arial" w:hAnsi="Arial"/>
                <w:b w:val="0"/>
                <w:sz w:val="16"/>
              </w:rPr>
              <w:t>Nur Impuls-, Vergleichs- und Abgrenzungsmaterial; nicht als Hauptbeweis drucken, wenn Umfang reduziert werden soll.</w:t>
            </w:r>
          </w:p>
        </w:tc>
      </w:tr>
      <w:tr>
        <w:tc>
          <w:tcPr>
            <w:tcW w:type="dxa" w:w="1800"/>
            <w:vAlign w:val="top"/>
          </w:tcPr>
          <w:p>
            <w:r/>
            <w:r>
              <w:rPr>
                <w:rFonts w:ascii="Arial" w:hAnsi="Arial"/>
                <w:b w:val="0"/>
                <w:sz w:val="16"/>
              </w:rPr>
              <w:t>Anlagen L/M/N</w:t>
            </w:r>
          </w:p>
        </w:tc>
        <w:tc>
          <w:tcPr>
            <w:tcW w:type="dxa" w:w="2500"/>
            <w:vAlign w:val="top"/>
          </w:tcPr>
          <w:p>
            <w:r/>
            <w:r>
              <w:rPr>
                <w:rFonts w:ascii="Arial" w:hAnsi="Arial"/>
                <w:b w:val="0"/>
                <w:sz w:val="16"/>
              </w:rPr>
              <w:t>Wissenschaftlichkeit, Weltgottheitenuebersicht, Urgeschichte/Dekalog/Gewalt</w:t>
            </w:r>
          </w:p>
        </w:tc>
        <w:tc>
          <w:tcPr>
            <w:tcW w:type="dxa" w:w="3200"/>
            <w:vAlign w:val="top"/>
          </w:tcPr>
          <w:p>
            <w:r/>
            <w:r>
              <w:rPr>
                <w:rFonts w:ascii="Arial" w:hAnsi="Arial"/>
                <w:b w:val="0"/>
                <w:sz w:val="16"/>
              </w:rPr>
              <w:t>Empfohlen bei Vollpruefung</w:t>
            </w:r>
          </w:p>
        </w:tc>
        <w:tc>
          <w:tcPr>
            <w:tcW w:type="dxa" w:w="1500"/>
            <w:vAlign w:val="top"/>
          </w:tcPr>
          <w:p>
            <w:r/>
            <w:r>
              <w:rPr>
                <w:rFonts w:ascii="Arial" w:hAnsi="Arial"/>
                <w:b w:val="0"/>
                <w:sz w:val="16"/>
              </w:rPr>
              <w:t>Wichtig fuer Forschungskontext, Vergleichsrahmen und ethisch-theologische Zusatzfragen.</w:t>
            </w:r>
          </w:p>
        </w:tc>
      </w:tr>
      <w:tr>
        <w:tc>
          <w:tcPr>
            <w:tcW w:type="dxa" w:w="1800"/>
            <w:vAlign w:val="top"/>
          </w:tcPr>
          <w:p>
            <w:r/>
            <w:r>
              <w:rPr>
                <w:rFonts w:ascii="Arial" w:hAnsi="Arial"/>
                <w:b w:val="0"/>
                <w:sz w:val="16"/>
              </w:rPr>
              <w:t>PDF-/lokale Quellenregister</w:t>
            </w:r>
          </w:p>
        </w:tc>
        <w:tc>
          <w:tcPr>
            <w:tcW w:type="dxa" w:w="2500"/>
            <w:vAlign w:val="top"/>
          </w:tcPr>
          <w:p>
            <w:r/>
            <w:r>
              <w:rPr>
                <w:rFonts w:ascii="Arial" w:hAnsi="Arial"/>
                <w:b w:val="0"/>
                <w:sz w:val="16"/>
              </w:rPr>
              <w:t>Konvertierte lokale Bibel-Dateien und Quellenregister</w:t>
            </w:r>
          </w:p>
        </w:tc>
        <w:tc>
          <w:tcPr>
            <w:tcW w:type="dxa" w:w="3200"/>
            <w:vAlign w:val="top"/>
          </w:tcPr>
          <w:p>
            <w:r/>
            <w:r>
              <w:rPr>
                <w:rFonts w:ascii="Arial" w:hAnsi="Arial"/>
                <w:b w:val="0"/>
                <w:sz w:val="16"/>
              </w:rPr>
              <w:t>Digital beilegen</w:t>
            </w:r>
          </w:p>
        </w:tc>
        <w:tc>
          <w:tcPr>
            <w:tcW w:type="dxa" w:w="1500"/>
            <w:vAlign w:val="top"/>
          </w:tcPr>
          <w:p>
            <w:r/>
            <w:r>
              <w:rPr>
                <w:rFonts w:ascii="Arial" w:hAnsi="Arial"/>
                <w:b w:val="0"/>
                <w:sz w:val="16"/>
              </w:rPr>
              <w:t>Bei Ausdruck meist zu umfangreich; Dateipfade und Register genuegen, solange die Dateien erhalten bleiben.</w:t>
            </w:r>
          </w:p>
        </w:tc>
      </w:tr>
    </w:tbl>
    <w:p>
      <w:r>
        <w:br w:type="page"/>
      </w:r>
    </w:p>
    <w:p>
      <w:pPr>
        <w:pStyle w:val="Heading1"/>
      </w:pPr>
      <w:r>
        <w:t>Anlagenverzeichnis</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Nr.</w:t>
            </w:r>
          </w:p>
        </w:tc>
        <w:tc>
          <w:tcPr>
            <w:tcW w:type="dxa" w:w="2500"/>
            <w:vAlign w:val="top"/>
            <w:shd w:fill="F1F3F4"/>
          </w:tcPr>
          <w:p>
            <w:r/>
            <w:r>
              <w:rPr>
                <w:rFonts w:ascii="Arial" w:hAnsi="Arial"/>
                <w:b/>
                <w:sz w:val="16"/>
              </w:rPr>
              <w:t>Dokument</w:t>
            </w:r>
          </w:p>
        </w:tc>
        <w:tc>
          <w:tcPr>
            <w:tcW w:type="dxa" w:w="3200"/>
            <w:vAlign w:val="top"/>
            <w:shd w:fill="F1F3F4"/>
          </w:tcPr>
          <w:p>
            <w:r/>
            <w:r>
              <w:rPr>
                <w:rFonts w:ascii="Arial" w:hAnsi="Arial"/>
                <w:b/>
                <w:sz w:val="16"/>
              </w:rPr>
              <w:t>Einbindung / Funktion</w:t>
            </w:r>
          </w:p>
        </w:tc>
        <w:tc>
          <w:tcPr>
            <w:tcW w:type="dxa" w:w="1500"/>
            <w:vAlign w:val="top"/>
            <w:shd w:fill="F1F3F4"/>
          </w:tcPr>
          <w:p>
            <w:r/>
            <w:r>
              <w:rPr>
                <w:rFonts w:ascii="Arial" w:hAnsi="Arial"/>
                <w:b/>
                <w:sz w:val="16"/>
              </w:rPr>
              <w:t>Dateistatus</w:t>
            </w:r>
          </w:p>
        </w:tc>
      </w:tr>
      <w:tr>
        <w:tc>
          <w:tcPr>
            <w:tcW w:type="dxa" w:w="1800"/>
            <w:vAlign w:val="top"/>
          </w:tcPr>
          <w:p>
            <w:r/>
            <w:r>
              <w:rPr>
                <w:rFonts w:ascii="Arial" w:hAnsi="Arial"/>
                <w:b w:val="0"/>
                <w:sz w:val="16"/>
              </w:rPr>
              <w:t>Hauptteil</w:t>
            </w:r>
          </w:p>
        </w:tc>
        <w:tc>
          <w:tcPr>
            <w:tcW w:type="dxa" w:w="2500"/>
            <w:vAlign w:val="top"/>
          </w:tcPr>
          <w:p>
            <w:r/>
            <w:r>
              <w:rPr>
                <w:rFonts w:ascii="Arial" w:hAnsi="Arial"/>
                <w:b w:val="0"/>
                <w:sz w:val="16"/>
              </w:rPr>
              <w:t>Bibelanalyse_Hauptausarbeitung_Projekt.docx</w:t>
            </w:r>
          </w:p>
        </w:tc>
        <w:tc>
          <w:tcPr>
            <w:tcW w:type="dxa" w:w="3200"/>
            <w:vAlign w:val="top"/>
          </w:tcPr>
          <w:p>
            <w:r/>
            <w:r>
              <w:rPr>
                <w:rFonts w:ascii="Arial" w:hAnsi="Arial"/>
                <w:b w:val="0"/>
                <w:sz w:val="16"/>
              </w:rPr>
              <w:t>Aktueller integrierter Haupttext</w:t>
            </w:r>
          </w:p>
        </w:tc>
        <w:tc>
          <w:tcPr>
            <w:tcW w:type="dxa" w:w="1500"/>
            <w:vAlign w:val="top"/>
          </w:tcPr>
          <w:p>
            <w:r/>
            <w:r>
              <w:rPr>
                <w:rFonts w:ascii="Arial" w:hAnsi="Arial"/>
                <w:b w:val="0"/>
                <w:sz w:val="16"/>
              </w:rPr>
              <w:t>.docx, 50893 Bytes</w:t>
            </w:r>
          </w:p>
        </w:tc>
      </w:tr>
      <w:tr>
        <w:tc>
          <w:tcPr>
            <w:tcW w:type="dxa" w:w="1800"/>
            <w:vAlign w:val="top"/>
          </w:tcPr>
          <w:p>
            <w:r/>
            <w:r>
              <w:rPr>
                <w:rFonts w:ascii="Arial" w:hAnsi="Arial"/>
                <w:b w:val="0"/>
                <w:sz w:val="16"/>
              </w:rPr>
              <w:t>Anlage A</w:t>
            </w:r>
          </w:p>
        </w:tc>
        <w:tc>
          <w:tcPr>
            <w:tcW w:type="dxa" w:w="2500"/>
            <w:vAlign w:val="top"/>
          </w:tcPr>
          <w:p>
            <w:r/>
            <w:r>
              <w:rPr>
                <w:rFonts w:ascii="Arial" w:hAnsi="Arial"/>
                <w:b w:val="0"/>
                <w:sz w:val="16"/>
              </w:rPr>
              <w:t>Sachliche Auswertung der Datei EL war im</w:t>
            </w:r>
          </w:p>
        </w:tc>
        <w:tc>
          <w:tcPr>
            <w:tcW w:type="dxa" w:w="3200"/>
            <w:vAlign w:val="top"/>
          </w:tcPr>
          <w:p>
            <w:r/>
            <w:r>
              <w:rPr>
                <w:rFonts w:ascii="Arial" w:hAnsi="Arial"/>
                <w:b w:val="0"/>
                <w:sz w:val="16"/>
              </w:rPr>
              <w:t>Als Anlage vollständig eingebunden; für Plausibilitätsprüfung EL/JHWH relevant.</w:t>
            </w:r>
          </w:p>
        </w:tc>
        <w:tc>
          <w:tcPr>
            <w:tcW w:type="dxa" w:w="1500"/>
            <w:vAlign w:val="top"/>
          </w:tcPr>
          <w:p>
            <w:r/>
            <w:r>
              <w:rPr>
                <w:rFonts w:ascii="Arial" w:hAnsi="Arial"/>
                <w:b w:val="0"/>
                <w:sz w:val="16"/>
              </w:rPr>
              <w:t>.docx, 33442 Bytes</w:t>
            </w:r>
          </w:p>
        </w:tc>
      </w:tr>
      <w:tr>
        <w:tc>
          <w:tcPr>
            <w:tcW w:type="dxa" w:w="1800"/>
            <w:vAlign w:val="top"/>
          </w:tcPr>
          <w:p>
            <w:r/>
            <w:r>
              <w:rPr>
                <w:rFonts w:ascii="Arial" w:hAnsi="Arial"/>
                <w:b w:val="0"/>
                <w:sz w:val="16"/>
              </w:rPr>
              <w:t>Anlage B</w:t>
            </w:r>
          </w:p>
        </w:tc>
        <w:tc>
          <w:tcPr>
            <w:tcW w:type="dxa" w:w="2500"/>
            <w:vAlign w:val="top"/>
          </w:tcPr>
          <w:p>
            <w:r/>
            <w:r>
              <w:rPr>
                <w:rFonts w:ascii="Arial" w:hAnsi="Arial"/>
                <w:b w:val="0"/>
                <w:sz w:val="16"/>
              </w:rPr>
              <w:t>Bibelanalyse Forschungsplan und Thesenvergleich</w:t>
            </w:r>
          </w:p>
        </w:tc>
        <w:tc>
          <w:tcPr>
            <w:tcW w:type="dxa" w:w="3200"/>
            <w:vAlign w:val="top"/>
          </w:tcPr>
          <w:p>
            <w:r/>
            <w:r>
              <w:rPr>
                <w:rFonts w:ascii="Arial" w:hAnsi="Arial"/>
                <w:b w:val="0"/>
                <w:sz w:val="16"/>
              </w:rPr>
              <w:t>Als Anlage vollständig eingebunden; methodischer Arbeitsplan.</w:t>
            </w:r>
          </w:p>
        </w:tc>
        <w:tc>
          <w:tcPr>
            <w:tcW w:type="dxa" w:w="1500"/>
            <w:vAlign w:val="top"/>
          </w:tcPr>
          <w:p>
            <w:r/>
            <w:r>
              <w:rPr>
                <w:rFonts w:ascii="Arial" w:hAnsi="Arial"/>
                <w:b w:val="0"/>
                <w:sz w:val="16"/>
              </w:rPr>
              <w:t>.docx, 41756 Bytes</w:t>
            </w:r>
          </w:p>
        </w:tc>
      </w:tr>
      <w:tr>
        <w:tc>
          <w:tcPr>
            <w:tcW w:type="dxa" w:w="1800"/>
            <w:vAlign w:val="top"/>
          </w:tcPr>
          <w:p>
            <w:r/>
            <w:r>
              <w:rPr>
                <w:rFonts w:ascii="Arial" w:hAnsi="Arial"/>
                <w:b w:val="0"/>
                <w:sz w:val="16"/>
              </w:rPr>
              <w:t>Anlage C</w:t>
            </w:r>
          </w:p>
        </w:tc>
        <w:tc>
          <w:tcPr>
            <w:tcW w:type="dxa" w:w="2500"/>
            <w:vAlign w:val="top"/>
          </w:tcPr>
          <w:p>
            <w:r/>
            <w:r>
              <w:rPr>
                <w:rFonts w:ascii="Arial" w:hAnsi="Arial"/>
                <w:b w:val="0"/>
                <w:sz w:val="16"/>
              </w:rPr>
              <w:t>Bibelanalyse El JHWH Gottheiten Auswertung</w:t>
            </w:r>
          </w:p>
        </w:tc>
        <w:tc>
          <w:tcPr>
            <w:tcW w:type="dxa" w:w="3200"/>
            <w:vAlign w:val="top"/>
          </w:tcPr>
          <w:p>
            <w:r/>
            <w:r>
              <w:rPr>
                <w:rFonts w:ascii="Arial" w:hAnsi="Arial"/>
                <w:b w:val="0"/>
                <w:sz w:val="16"/>
              </w:rPr>
              <w:t>Als Anlage vollständig eingebunden; frühe Auswertung zu El/JHWH/Gottheiten.</w:t>
            </w:r>
          </w:p>
        </w:tc>
        <w:tc>
          <w:tcPr>
            <w:tcW w:type="dxa" w:w="1500"/>
            <w:vAlign w:val="top"/>
          </w:tcPr>
          <w:p>
            <w:r/>
            <w:r>
              <w:rPr>
                <w:rFonts w:ascii="Arial" w:hAnsi="Arial"/>
                <w:b w:val="0"/>
                <w:sz w:val="16"/>
              </w:rPr>
              <w:t>.docx, 54082 Bytes</w:t>
            </w:r>
          </w:p>
        </w:tc>
      </w:tr>
      <w:tr>
        <w:tc>
          <w:tcPr>
            <w:tcW w:type="dxa" w:w="1800"/>
            <w:vAlign w:val="top"/>
          </w:tcPr>
          <w:p>
            <w:r/>
            <w:r>
              <w:rPr>
                <w:rFonts w:ascii="Arial" w:hAnsi="Arial"/>
                <w:b w:val="0"/>
                <w:sz w:val="16"/>
              </w:rPr>
              <w:t>Anlage D</w:t>
            </w:r>
          </w:p>
        </w:tc>
        <w:tc>
          <w:tcPr>
            <w:tcW w:type="dxa" w:w="2500"/>
            <w:vAlign w:val="top"/>
          </w:tcPr>
          <w:p>
            <w:r/>
            <w:r>
              <w:rPr>
                <w:rFonts w:ascii="Arial" w:hAnsi="Arial"/>
                <w:b w:val="0"/>
                <w:sz w:val="16"/>
              </w:rPr>
              <w:t>Analyse Youtube Bibel Sumerer Vergleich EL JHWH</w:t>
            </w:r>
          </w:p>
        </w:tc>
        <w:tc>
          <w:tcPr>
            <w:tcW w:type="dxa" w:w="3200"/>
            <w:vAlign w:val="top"/>
          </w:tcPr>
          <w:p>
            <w:r/>
            <w:r>
              <w:rPr>
                <w:rFonts w:ascii="Arial" w:hAnsi="Arial"/>
                <w:b w:val="0"/>
                <w:sz w:val="16"/>
              </w:rPr>
              <w:t>Als Anlage vollständig eingebunden; als Sekundär-/Impulsquelle zu behandeln.</w:t>
            </w:r>
          </w:p>
        </w:tc>
        <w:tc>
          <w:tcPr>
            <w:tcW w:type="dxa" w:w="1500"/>
            <w:vAlign w:val="top"/>
          </w:tcPr>
          <w:p>
            <w:r/>
            <w:r>
              <w:rPr>
                <w:rFonts w:ascii="Arial" w:hAnsi="Arial"/>
                <w:b w:val="0"/>
                <w:sz w:val="16"/>
              </w:rPr>
              <w:t>.docx, 56154 Bytes</w:t>
            </w:r>
          </w:p>
        </w:tc>
      </w:tr>
      <w:tr>
        <w:tc>
          <w:tcPr>
            <w:tcW w:type="dxa" w:w="1800"/>
            <w:vAlign w:val="top"/>
          </w:tcPr>
          <w:p>
            <w:r/>
            <w:r>
              <w:rPr>
                <w:rFonts w:ascii="Arial" w:hAnsi="Arial"/>
                <w:b w:val="0"/>
                <w:sz w:val="16"/>
              </w:rPr>
              <w:t>Anlage E</w:t>
            </w:r>
          </w:p>
        </w:tc>
        <w:tc>
          <w:tcPr>
            <w:tcW w:type="dxa" w:w="2500"/>
            <w:vAlign w:val="top"/>
          </w:tcPr>
          <w:p>
            <w:r/>
            <w:r>
              <w:rPr>
                <w:rFonts w:ascii="Arial" w:hAnsi="Arial"/>
                <w:b w:val="0"/>
                <w:sz w:val="16"/>
              </w:rPr>
              <w:t>Göttliche Entwicklung und JHWH</w:t>
            </w:r>
          </w:p>
        </w:tc>
        <w:tc>
          <w:tcPr>
            <w:tcW w:type="dxa" w:w="3200"/>
            <w:vAlign w:val="top"/>
          </w:tcPr>
          <w:p>
            <w:r/>
            <w:r>
              <w:rPr>
                <w:rFonts w:ascii="Arial" w:hAnsi="Arial"/>
                <w:b w:val="0"/>
                <w:sz w:val="16"/>
              </w:rPr>
              <w:t>PDF textlich extrahiert und als Anlage eingebunden; Layout/Seitenbild nicht reproduziert.</w:t>
            </w:r>
          </w:p>
        </w:tc>
        <w:tc>
          <w:tcPr>
            <w:tcW w:type="dxa" w:w="1500"/>
            <w:vAlign w:val="top"/>
          </w:tcPr>
          <w:p>
            <w:r/>
            <w:r>
              <w:rPr>
                <w:rFonts w:ascii="Arial" w:hAnsi="Arial"/>
                <w:b w:val="0"/>
                <w:sz w:val="16"/>
              </w:rPr>
              <w:t>.pdf, 231207 Bytes</w:t>
            </w:r>
          </w:p>
        </w:tc>
      </w:tr>
      <w:tr>
        <w:tc>
          <w:tcPr>
            <w:tcW w:type="dxa" w:w="1800"/>
            <w:vAlign w:val="top"/>
          </w:tcPr>
          <w:p>
            <w:r/>
            <w:r>
              <w:rPr>
                <w:rFonts w:ascii="Arial" w:hAnsi="Arial"/>
                <w:b w:val="0"/>
                <w:sz w:val="16"/>
              </w:rPr>
              <w:t>Anlage F</w:t>
            </w:r>
          </w:p>
        </w:tc>
        <w:tc>
          <w:tcPr>
            <w:tcW w:type="dxa" w:w="2500"/>
            <w:vAlign w:val="top"/>
          </w:tcPr>
          <w:p>
            <w:r/>
            <w:r>
              <w:rPr>
                <w:rFonts w:ascii="Arial" w:hAnsi="Arial"/>
                <w:b w:val="0"/>
                <w:sz w:val="16"/>
              </w:rPr>
              <w:t>Anunaki</w:t>
            </w:r>
          </w:p>
        </w:tc>
        <w:tc>
          <w:tcPr>
            <w:tcW w:type="dxa" w:w="3200"/>
            <w:vAlign w:val="top"/>
          </w:tcPr>
          <w:p>
            <w:r/>
            <w:r>
              <w:rPr>
                <w:rFonts w:ascii="Arial" w:hAnsi="Arial"/>
                <w:b w:val="0"/>
                <w:sz w:val="16"/>
              </w:rPr>
              <w:t>Als Anlage vollständig eingebunden; methodisch als Vergleichs-/Einflussfrage, nicht Identitätsthese.</w:t>
            </w:r>
          </w:p>
        </w:tc>
        <w:tc>
          <w:tcPr>
            <w:tcW w:type="dxa" w:w="1500"/>
            <w:vAlign w:val="top"/>
          </w:tcPr>
          <w:p>
            <w:r/>
            <w:r>
              <w:rPr>
                <w:rFonts w:ascii="Arial" w:hAnsi="Arial"/>
                <w:b w:val="0"/>
                <w:sz w:val="16"/>
              </w:rPr>
              <w:t>.docx, 22668 Bytes</w:t>
            </w:r>
          </w:p>
        </w:tc>
      </w:tr>
      <w:tr>
        <w:tc>
          <w:tcPr>
            <w:tcW w:type="dxa" w:w="1800"/>
            <w:vAlign w:val="top"/>
          </w:tcPr>
          <w:p>
            <w:r/>
            <w:r>
              <w:rPr>
                <w:rFonts w:ascii="Arial" w:hAnsi="Arial"/>
                <w:b w:val="0"/>
                <w:sz w:val="16"/>
              </w:rPr>
              <w:t>Anlage G</w:t>
            </w:r>
          </w:p>
        </w:tc>
        <w:tc>
          <w:tcPr>
            <w:tcW w:type="dxa" w:w="2500"/>
            <w:vAlign w:val="top"/>
          </w:tcPr>
          <w:p>
            <w:r/>
            <w:r>
              <w:rPr>
                <w:rFonts w:ascii="Arial" w:hAnsi="Arial"/>
                <w:b w:val="0"/>
                <w:sz w:val="16"/>
              </w:rPr>
              <w:t>Bibelanalyse Grundlagendokument Kapitel Ausarbeitung</w:t>
            </w:r>
          </w:p>
        </w:tc>
        <w:tc>
          <w:tcPr>
            <w:tcW w:type="dxa" w:w="3200"/>
            <w:vAlign w:val="top"/>
          </w:tcPr>
          <w:p>
            <w:r/>
            <w:r>
              <w:rPr>
                <w:rFonts w:ascii="Arial" w:hAnsi="Arial"/>
                <w:b w:val="0"/>
                <w:sz w:val="16"/>
              </w:rPr>
              <w:t>Als Anlage vollständig eingebunden; Grundlage früherer Kapitelarbeit.</w:t>
            </w:r>
          </w:p>
        </w:tc>
        <w:tc>
          <w:tcPr>
            <w:tcW w:type="dxa" w:w="1500"/>
            <w:vAlign w:val="top"/>
          </w:tcPr>
          <w:p>
            <w:r/>
            <w:r>
              <w:rPr>
                <w:rFonts w:ascii="Arial" w:hAnsi="Arial"/>
                <w:b w:val="0"/>
                <w:sz w:val="16"/>
              </w:rPr>
              <w:t>.docx, 44568 Bytes</w:t>
            </w:r>
          </w:p>
        </w:tc>
      </w:tr>
      <w:tr>
        <w:tc>
          <w:tcPr>
            <w:tcW w:type="dxa" w:w="1800"/>
            <w:vAlign w:val="top"/>
          </w:tcPr>
          <w:p>
            <w:r/>
            <w:r>
              <w:rPr>
                <w:rFonts w:ascii="Arial" w:hAnsi="Arial"/>
                <w:b w:val="0"/>
                <w:sz w:val="16"/>
              </w:rPr>
              <w:t>Anlage H</w:t>
            </w:r>
          </w:p>
        </w:tc>
        <w:tc>
          <w:tcPr>
            <w:tcW w:type="dxa" w:w="2500"/>
            <w:vAlign w:val="top"/>
          </w:tcPr>
          <w:p>
            <w:r/>
            <w:r>
              <w:rPr>
                <w:rFonts w:ascii="Arial" w:hAnsi="Arial"/>
                <w:b w:val="0"/>
                <w:sz w:val="16"/>
              </w:rPr>
              <w:t>Erweiterte Arbeitsabfolge 5 Stufen</w:t>
            </w:r>
          </w:p>
        </w:tc>
        <w:tc>
          <w:tcPr>
            <w:tcW w:type="dxa" w:w="3200"/>
            <w:vAlign w:val="top"/>
          </w:tcPr>
          <w:p>
            <w:r/>
            <w:r>
              <w:rPr>
                <w:rFonts w:ascii="Arial" w:hAnsi="Arial"/>
                <w:b w:val="0"/>
                <w:sz w:val="16"/>
              </w:rPr>
              <w:t>Als Anlage eingebunden; Stufenmodell auch im Hauptteil berücksichtigt.</w:t>
            </w:r>
          </w:p>
        </w:tc>
        <w:tc>
          <w:tcPr>
            <w:tcW w:type="dxa" w:w="1500"/>
            <w:vAlign w:val="top"/>
          </w:tcPr>
          <w:p>
            <w:r/>
            <w:r>
              <w:rPr>
                <w:rFonts w:ascii="Arial" w:hAnsi="Arial"/>
                <w:b w:val="0"/>
                <w:sz w:val="16"/>
              </w:rPr>
              <w:t>.docx, 44207 Bytes</w:t>
            </w:r>
          </w:p>
        </w:tc>
      </w:tr>
      <w:tr>
        <w:tc>
          <w:tcPr>
            <w:tcW w:type="dxa" w:w="1800"/>
            <w:vAlign w:val="top"/>
          </w:tcPr>
          <w:p>
            <w:r/>
            <w:r>
              <w:rPr>
                <w:rFonts w:ascii="Arial" w:hAnsi="Arial"/>
                <w:b w:val="0"/>
                <w:sz w:val="16"/>
              </w:rPr>
              <w:t>Anlage I</w:t>
            </w:r>
          </w:p>
        </w:tc>
        <w:tc>
          <w:tcPr>
            <w:tcW w:type="dxa" w:w="2500"/>
            <w:vAlign w:val="top"/>
          </w:tcPr>
          <w:p>
            <w:r/>
            <w:r>
              <w:rPr>
                <w:rFonts w:ascii="Arial" w:hAnsi="Arial"/>
                <w:b w:val="0"/>
                <w:sz w:val="16"/>
              </w:rPr>
              <w:t>Vorstufe Entstehung Israels aus Hochlandgruppen</w:t>
            </w:r>
          </w:p>
        </w:tc>
        <w:tc>
          <w:tcPr>
            <w:tcW w:type="dxa" w:w="3200"/>
            <w:vAlign w:val="top"/>
          </w:tcPr>
          <w:p>
            <w:r/>
            <w:r>
              <w:rPr>
                <w:rFonts w:ascii="Arial" w:hAnsi="Arial"/>
                <w:b w:val="0"/>
                <w:sz w:val="16"/>
              </w:rPr>
              <w:t>Als Anlage eingebunden; Vorstufe ist im Hauptmodell berücksichtigt.</w:t>
            </w:r>
          </w:p>
        </w:tc>
        <w:tc>
          <w:tcPr>
            <w:tcW w:type="dxa" w:w="1500"/>
            <w:vAlign w:val="top"/>
          </w:tcPr>
          <w:p>
            <w:r/>
            <w:r>
              <w:rPr>
                <w:rFonts w:ascii="Arial" w:hAnsi="Arial"/>
                <w:b w:val="0"/>
                <w:sz w:val="16"/>
              </w:rPr>
              <w:t>.docx, 41715 Bytes</w:t>
            </w:r>
          </w:p>
        </w:tc>
      </w:tr>
      <w:tr>
        <w:tc>
          <w:tcPr>
            <w:tcW w:type="dxa" w:w="1800"/>
            <w:vAlign w:val="top"/>
          </w:tcPr>
          <w:p>
            <w:r/>
            <w:r>
              <w:rPr>
                <w:rFonts w:ascii="Arial" w:hAnsi="Arial"/>
                <w:b w:val="0"/>
                <w:sz w:val="16"/>
              </w:rPr>
              <w:t>Anlage J</w:t>
            </w:r>
          </w:p>
        </w:tc>
        <w:tc>
          <w:tcPr>
            <w:tcW w:type="dxa" w:w="2500"/>
            <w:vAlign w:val="top"/>
          </w:tcPr>
          <w:p>
            <w:r/>
            <w:r>
              <w:rPr>
                <w:rFonts w:ascii="Arial" w:hAnsi="Arial"/>
                <w:b w:val="0"/>
                <w:sz w:val="16"/>
              </w:rPr>
              <w:t>Übergang Göttlicher Rat zum Monotheismus</w:t>
            </w:r>
          </w:p>
        </w:tc>
        <w:tc>
          <w:tcPr>
            <w:tcW w:type="dxa" w:w="3200"/>
            <w:vAlign w:val="top"/>
          </w:tcPr>
          <w:p>
            <w:r/>
            <w:r>
              <w:rPr>
                <w:rFonts w:ascii="Arial" w:hAnsi="Arial"/>
                <w:b w:val="0"/>
                <w:sz w:val="16"/>
              </w:rPr>
              <w:t>Als Anlage eingebunden; Kernmodell für Rat -&gt; Monotheismus.</w:t>
            </w:r>
          </w:p>
        </w:tc>
        <w:tc>
          <w:tcPr>
            <w:tcW w:type="dxa" w:w="1500"/>
            <w:vAlign w:val="top"/>
          </w:tcPr>
          <w:p>
            <w:r/>
            <w:r>
              <w:rPr>
                <w:rFonts w:ascii="Arial" w:hAnsi="Arial"/>
                <w:b w:val="0"/>
                <w:sz w:val="16"/>
              </w:rPr>
              <w:t>.docx, 42607 Bytes</w:t>
            </w:r>
          </w:p>
        </w:tc>
      </w:tr>
      <w:tr>
        <w:tc>
          <w:tcPr>
            <w:tcW w:type="dxa" w:w="1800"/>
            <w:vAlign w:val="top"/>
          </w:tcPr>
          <w:p>
            <w:r/>
            <w:r>
              <w:rPr>
                <w:rFonts w:ascii="Arial" w:hAnsi="Arial"/>
                <w:b w:val="0"/>
                <w:sz w:val="16"/>
              </w:rPr>
              <w:t>Anlage K</w:t>
            </w:r>
          </w:p>
        </w:tc>
        <w:tc>
          <w:tcPr>
            <w:tcW w:type="dxa" w:w="2500"/>
            <w:vAlign w:val="top"/>
          </w:tcPr>
          <w:p>
            <w:r/>
            <w:r>
              <w:rPr>
                <w:rFonts w:ascii="Arial" w:hAnsi="Arial"/>
                <w:b w:val="0"/>
                <w:sz w:val="16"/>
              </w:rPr>
              <w:t>Ergänzung Chatprüfung El JHWH Elohim</w:t>
            </w:r>
          </w:p>
        </w:tc>
        <w:tc>
          <w:tcPr>
            <w:tcW w:type="dxa" w:w="3200"/>
            <w:vAlign w:val="top"/>
          </w:tcPr>
          <w:p>
            <w:r/>
            <w:r>
              <w:rPr>
                <w:rFonts w:ascii="Arial" w:hAnsi="Arial"/>
                <w:b w:val="0"/>
                <w:sz w:val="16"/>
              </w:rPr>
              <w:t>Als Anlage eingebunden; geprüfte Korrekturen/Einordnung.</w:t>
            </w:r>
          </w:p>
        </w:tc>
        <w:tc>
          <w:tcPr>
            <w:tcW w:type="dxa" w:w="1500"/>
            <w:vAlign w:val="top"/>
          </w:tcPr>
          <w:p>
            <w:r/>
            <w:r>
              <w:rPr>
                <w:rFonts w:ascii="Arial" w:hAnsi="Arial"/>
                <w:b w:val="0"/>
                <w:sz w:val="16"/>
              </w:rPr>
              <w:t>.docx, 41014 Bytes</w:t>
            </w:r>
          </w:p>
        </w:tc>
      </w:tr>
      <w:tr>
        <w:tc>
          <w:tcPr>
            <w:tcW w:type="dxa" w:w="1800"/>
            <w:vAlign w:val="top"/>
          </w:tcPr>
          <w:p>
            <w:r/>
            <w:r>
              <w:rPr>
                <w:rFonts w:ascii="Arial" w:hAnsi="Arial"/>
                <w:b w:val="0"/>
                <w:sz w:val="16"/>
              </w:rPr>
              <w:t>Anlage L</w:t>
            </w:r>
          </w:p>
        </w:tc>
        <w:tc>
          <w:tcPr>
            <w:tcW w:type="dxa" w:w="2500"/>
            <w:vAlign w:val="top"/>
          </w:tcPr>
          <w:p>
            <w:r/>
            <w:r>
              <w:rPr>
                <w:rFonts w:ascii="Arial" w:hAnsi="Arial"/>
                <w:b w:val="0"/>
                <w:sz w:val="16"/>
              </w:rPr>
              <w:t>Prüfung Wissenschaftlicher Forschungsstand und Machbarkeit</w:t>
            </w:r>
          </w:p>
        </w:tc>
        <w:tc>
          <w:tcPr>
            <w:tcW w:type="dxa" w:w="3200"/>
            <w:vAlign w:val="top"/>
          </w:tcPr>
          <w:p>
            <w:r/>
            <w:r>
              <w:rPr>
                <w:rFonts w:ascii="Arial" w:hAnsi="Arial"/>
                <w:b w:val="0"/>
                <w:sz w:val="16"/>
              </w:rPr>
              <w:t>Als Anlage eingebunden; bewertet Forschungsstand, wissenschaftliche Tragfähigkeit und erforderliche Methodik.</w:t>
            </w:r>
          </w:p>
        </w:tc>
        <w:tc>
          <w:tcPr>
            <w:tcW w:type="dxa" w:w="1500"/>
            <w:vAlign w:val="top"/>
          </w:tcPr>
          <w:p>
            <w:r/>
            <w:r>
              <w:rPr>
                <w:rFonts w:ascii="Arial" w:hAnsi="Arial"/>
                <w:b w:val="0"/>
                <w:sz w:val="16"/>
              </w:rPr>
              <w:t>.docx, 41627 Bytes</w:t>
            </w:r>
          </w:p>
        </w:tc>
      </w:tr>
      <w:tr>
        <w:tc>
          <w:tcPr>
            <w:tcW w:type="dxa" w:w="1800"/>
            <w:vAlign w:val="top"/>
          </w:tcPr>
          <w:p>
            <w:r/>
            <w:r>
              <w:rPr>
                <w:rFonts w:ascii="Arial" w:hAnsi="Arial"/>
                <w:b w:val="0"/>
                <w:sz w:val="16"/>
              </w:rPr>
              <w:t>Anlage M</w:t>
            </w:r>
          </w:p>
        </w:tc>
        <w:tc>
          <w:tcPr>
            <w:tcW w:type="dxa" w:w="2500"/>
            <w:vAlign w:val="top"/>
          </w:tcPr>
          <w:p>
            <w:r/>
            <w:r>
              <w:rPr>
                <w:rFonts w:ascii="Arial" w:hAnsi="Arial"/>
                <w:b w:val="0"/>
                <w:sz w:val="16"/>
              </w:rPr>
              <w:t>Weltweite Gottheiten, Chronologie und Übergang zum Monotheismus</w:t>
            </w:r>
          </w:p>
        </w:tc>
        <w:tc>
          <w:tcPr>
            <w:tcW w:type="dxa" w:w="3200"/>
            <w:vAlign w:val="top"/>
          </w:tcPr>
          <w:p>
            <w:r/>
            <w:r>
              <w:rPr>
                <w:rFonts w:ascii="Arial" w:hAnsi="Arial"/>
                <w:b w:val="0"/>
                <w:sz w:val="16"/>
              </w:rPr>
              <w:t>Als Anlage eingebunden; weltweite Vergleichsmatrix für Hauptgötter, Pantheons, Funktionsparallelen und Rat-zu-Monotheismus-Modell.</w:t>
            </w:r>
          </w:p>
        </w:tc>
        <w:tc>
          <w:tcPr>
            <w:tcW w:type="dxa" w:w="1500"/>
            <w:vAlign w:val="top"/>
          </w:tcPr>
          <w:p>
            <w:r/>
            <w:r>
              <w:rPr>
                <w:rFonts w:ascii="Arial" w:hAnsi="Arial"/>
                <w:b w:val="0"/>
                <w:sz w:val="16"/>
              </w:rPr>
              <w:t>.docx, 45966 Bytes</w:t>
            </w:r>
          </w:p>
        </w:tc>
      </w:tr>
      <w:tr>
        <w:tc>
          <w:tcPr>
            <w:tcW w:type="dxa" w:w="1800"/>
            <w:vAlign w:val="top"/>
          </w:tcPr>
          <w:p>
            <w:r/>
            <w:r>
              <w:rPr>
                <w:rFonts w:ascii="Arial" w:hAnsi="Arial"/>
                <w:b w:val="0"/>
                <w:sz w:val="16"/>
              </w:rPr>
              <w:t>Anlage N</w:t>
            </w:r>
          </w:p>
        </w:tc>
        <w:tc>
          <w:tcPr>
            <w:tcW w:type="dxa" w:w="2500"/>
            <w:vAlign w:val="top"/>
          </w:tcPr>
          <w:p>
            <w:r/>
            <w:r>
              <w:rPr>
                <w:rFonts w:ascii="Arial" w:hAnsi="Arial"/>
                <w:b w:val="0"/>
                <w:sz w:val="16"/>
              </w:rPr>
              <w:t>Adam, Noah, Völkertafel, Dekalog, Schöpfung und Gewalt</w:t>
            </w:r>
          </w:p>
        </w:tc>
        <w:tc>
          <w:tcPr>
            <w:tcW w:type="dxa" w:w="3200"/>
            <w:vAlign w:val="top"/>
          </w:tcPr>
          <w:p>
            <w:r/>
            <w:r>
              <w:rPr>
                <w:rFonts w:ascii="Arial" w:hAnsi="Arial"/>
                <w:b w:val="0"/>
                <w:sz w:val="16"/>
              </w:rPr>
              <w:t>Als Anlage eingebunden; prüft Urgeschichte, Noah-Reboot, Völkertafel, Dekalogvarianten, Schöpfungstraditionen, Opfer/Gewalt und Plagen.</w:t>
            </w:r>
          </w:p>
        </w:tc>
        <w:tc>
          <w:tcPr>
            <w:tcW w:type="dxa" w:w="1500"/>
            <w:vAlign w:val="top"/>
          </w:tcPr>
          <w:p>
            <w:r/>
            <w:r>
              <w:rPr>
                <w:rFonts w:ascii="Arial" w:hAnsi="Arial"/>
                <w:b w:val="0"/>
                <w:sz w:val="16"/>
              </w:rPr>
              <w:t>.docx, 52793 Bytes</w:t>
            </w:r>
          </w:p>
        </w:tc>
      </w:tr>
    </w:tbl>
    <w:p>
      <w:r>
        <w:br w:type="page"/>
      </w:r>
    </w:p>
    <w:p>
      <w:pPr>
        <w:pStyle w:val="Heading1"/>
      </w:pPr>
      <w:r>
        <w:t>Prueflese-Status: Was dieses Dokument aktuell leistet</w:t>
      </w:r>
    </w:p>
    <w:p>
      <w:r>
        <w:rPr>
          <w:rFonts w:ascii="Arial" w:hAnsi="Arial"/>
        </w:rPr>
        <w:t>Diese Fassung ist die aktuelle zentrale Forschungs- und Lesefassung. Kapitel 1 bis 14 bilden nun einen zusammenhaengenden Hauptteil mit beantworteten Leitfragen, Quellenankern, Beleggradlogik und Druckreifepruefungen. Sie ist damit keine lose Materialsammlung mehr, sondern eine validierte wissenschaftliche Lesefassung V1. Bibliographische Normalisierung, Fussnotenvalidierung, Dopplungskuerzung und Layout-Endkontrolle sind fuer diese Druckfassung umgesetzt; strengere akademische Detailvorgaben koennen spaeter zusaetzlich eingearbeitet werden.</w:t>
      </w:r>
    </w:p>
    <w:p>
      <w:pPr>
        <w:pStyle w:val="Heading2"/>
      </w:pPr>
      <w:r>
        <w:t>1. Zentrale Antworten dieser Fassung</w:t>
      </w:r>
    </w:p>
    <w:p>
      <w:pPr>
        <w:pStyle w:val="ListBullet"/>
      </w:pPr>
      <w:r>
        <w:rPr>
          <w:rFonts w:ascii="Arial" w:hAnsi="Arial"/>
        </w:rPr>
        <w:t>JHWH erscheint in der fruehen israelitischen Religionsgeschichte nicht einfach als isolierter einziger Gott, sondern im Umfeld westsemitisch-kanaanaeischer Gottesvorstellungen.</w:t>
      </w:r>
    </w:p>
    <w:p>
      <w:pPr>
        <w:pStyle w:val="ListBullet"/>
      </w:pPr>
      <w:r>
        <w:rPr>
          <w:rFonts w:ascii="Arial" w:hAnsi="Arial"/>
        </w:rPr>
        <w:t>El ist der staerkste religionsgeschichtliche Bezugspunkt fuer die spaetere Hochgottrolle JHWHs.</w:t>
      </w:r>
    </w:p>
    <w:p>
      <w:pPr>
        <w:pStyle w:val="ListBullet"/>
      </w:pPr>
      <w:r>
        <w:rPr>
          <w:rFonts w:ascii="Arial" w:hAnsi="Arial"/>
        </w:rPr>
        <w:t>JHWH und El sind am besten als spaetere Identifikation/Verschmelzung zu beschreiben, nicht als simple Namensgleichung.</w:t>
      </w:r>
    </w:p>
    <w:p>
      <w:pPr>
        <w:pStyle w:val="ListBullet"/>
      </w:pPr>
      <w:r>
        <w:rPr>
          <w:rFonts w:ascii="Arial" w:hAnsi="Arial"/>
        </w:rPr>
        <w:t>Baal/Hadad-Motive werden von JHWH uebernommen; daraus folgt aber keine belegte direkte Identitaet JHWH = Baal.</w:t>
      </w:r>
    </w:p>
    <w:p>
      <w:pPr>
        <w:pStyle w:val="ListBullet"/>
      </w:pPr>
      <w:r>
        <w:rPr>
          <w:rFonts w:ascii="Arial" w:hAnsi="Arial"/>
        </w:rPr>
        <w:t>Aschera ist fuer die Volksreligion Israels/Judas wichtig, bleibt aber als Goettin, Kultsymbol oder Hypostase gesondert zu pruefen.</w:t>
      </w:r>
    </w:p>
    <w:p>
      <w:pPr>
        <w:pStyle w:val="ListBullet"/>
      </w:pPr>
      <w:r>
        <w:rPr>
          <w:rFonts w:ascii="Arial" w:hAnsi="Arial"/>
        </w:rPr>
        <w:t>Elohim ist ein Kontextbegriff fuer Gott, Goetter oder goettliche Wesen; Anunnaki sind eine mesopotamische Goettergruppe. Eine direkte Gleichsetzung Elohim = Anunnaki ist nicht belegt.</w:t>
      </w:r>
    </w:p>
    <w:p>
      <w:pPr>
        <w:pStyle w:val="ListBullet"/>
      </w:pPr>
      <w:r>
        <w:rPr>
          <w:rFonts w:ascii="Arial" w:hAnsi="Arial"/>
        </w:rPr>
        <w:t>Der Uebergang vom goettlichen Rat zum Monotheismus ist als Stufenmodell plausibel: kanaanaeische Vorstufe, Rat der Soehne Els, JHWH als Gott Israels, JHWH = El, Umdeutung anderer Wesen zu Engeln/Daemonen/Maechten.</w:t>
      </w:r>
    </w:p>
    <w:p>
      <w:pPr>
        <w:pStyle w:val="ListBullet"/>
      </w:pPr>
      <w:r>
        <w:rPr>
          <w:rFonts w:ascii="Arial" w:hAnsi="Arial"/>
        </w:rPr>
        <w:t>Die spaetere Apokalyptik bewahrt viele alte Rats-, Chaos- und Machtkampfmotive, deutet sie aber monotheistisch um.</w:t>
      </w:r>
    </w:p>
    <w:p>
      <w:pPr>
        <w:pStyle w:val="Heading2"/>
      </w:pPr>
      <w:r>
        <w:t>2. Gepruefte Grenzen der Endfassung</w:t>
      </w:r>
    </w:p>
    <w:p>
      <w:pPr>
        <w:pStyle w:val="ListBullet"/>
      </w:pPr>
      <w:r>
        <w:rPr>
          <w:rFonts w:ascii="Arial" w:hAnsi="Arial"/>
        </w:rPr>
        <w:t>Das Literaturverzeichnis ist fuer V1 thematisch normalisiert; eine spaetere Hochschul- oder Verlagsfassung kann einen vorgegebenen Zitierstil noch strenger anwenden.</w:t>
      </w:r>
    </w:p>
    <w:p>
      <w:pPr>
        <w:pStyle w:val="ListBullet"/>
      </w:pPr>
      <w:r>
        <w:rPr>
          <w:rFonts w:ascii="Arial" w:hAnsi="Arial"/>
        </w:rPr>
        <w:t>Die Fussnoten sind technisch gesetzt und quellenlogisch validiert; punktgenaue Seitenangaben koennen bei spaeterer akademischer Einreichung weiter ergaenzt werden.</w:t>
      </w:r>
    </w:p>
    <w:p>
      <w:pPr>
        <w:pStyle w:val="ListBullet"/>
      </w:pPr>
      <w:r>
        <w:rPr>
          <w:rFonts w:ascii="Arial" w:hAnsi="Arial"/>
        </w:rPr>
        <w:t>Dopplungen zwischen Hauptkapiteln, Synthesen und Anlagen sind fuer diese Lesefassung reduziert; die Anlagen bleiben als Nachweis- und Archivbereich erhalten.</w:t>
      </w:r>
    </w:p>
    <w:p>
      <w:pPr>
        <w:pStyle w:val="ListBullet"/>
      </w:pPr>
      <w:r>
        <w:rPr>
          <w:rFonts w:ascii="Arial" w:hAnsi="Arial"/>
        </w:rPr>
        <w:t>Das Inhaltsverzeichnis ist bewusst auf Hauptkapitel beschraenkt; fuer eine Studienfassung kann bei Bedarf ein zweites Detailverzeichnis erstellt werden.</w:t>
      </w:r>
    </w:p>
    <w:p>
      <w:pPr>
        <w:pStyle w:val="ListBullet"/>
      </w:pPr>
      <w:r>
        <w:rPr>
          <w:rFonts w:ascii="Arial" w:hAnsi="Arial"/>
        </w:rPr>
        <w:t>Die weltweite Gottheitenuebersicht bleibt ein Vergleichsrahmen. Sie ist kein Beweisgang fuer eine Universalidentitaet einzelner Gottheiten.</w:t>
      </w:r>
    </w:p>
    <w:p>
      <w:pPr>
        <w:pStyle w:val="Heading2"/>
      </w:pPr>
      <w:r>
        <w:t>3. Ergebnis der Schlussredaktion</w:t>
      </w:r>
    </w:p>
    <w:p>
      <w:r>
        <w:rPr>
          <w:rFonts w:ascii="Arial" w:hAnsi="Arial"/>
        </w:rPr>
        <w:t>Die Endfassung oeffnet keine neue Materialsammlung, sondern schliesst die vorhandene Lesefassung: Literatur und Fussnoten sind normalisiert, Dopplungen im Nachlaufbereich gekuerzt, die Thesenmatrix mit dem Schlussurteil abgeglichen und das Dokument als PDF gerendert. Damit liegt eine prueffaehige Druckfassung V1 vor.</w:t>
      </w:r>
    </w:p>
    <w:p>
      <w:r>
        <w:br w:type="page"/>
      </w:r>
    </w:p>
    <w:p>
      <w:pPr>
        <w:pStyle w:val="Heading1"/>
      </w:pPr>
      <w:r>
        <w:t>Bearbeitungsstand der Antwortkapitel</w:t>
      </w:r>
    </w:p>
    <w:p>
      <w:r>
        <w:rPr>
          <w:rFonts w:ascii="Arial" w:hAnsi="Arial"/>
        </w:rPr>
        <w:t>Die folgende Matrix dokumentiert den Endstand der Antwortkapitel. Ein Kapitel gilt in dieser Fassung als fertig, wenn es als Antwortkapitel formuliert, quellenbezogen geprueft, formal kontrolliert und mit seinem verbleibenden Schlusslektoratsbedarf transparent markiert ist.</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Kapitel</w:t>
            </w:r>
          </w:p>
        </w:tc>
        <w:tc>
          <w:tcPr>
            <w:tcW w:type="dxa" w:w="2500"/>
            <w:vAlign w:val="top"/>
            <w:shd w:fill="F1F3F4"/>
          </w:tcPr>
          <w:p>
            <w:r/>
            <w:r>
              <w:rPr>
                <w:rFonts w:ascii="Arial" w:hAnsi="Arial"/>
                <w:b/>
                <w:sz w:val="16"/>
              </w:rPr>
              <w:t>Thema</w:t>
            </w:r>
          </w:p>
        </w:tc>
        <w:tc>
          <w:tcPr>
            <w:tcW w:type="dxa" w:w="3200"/>
            <w:vAlign w:val="top"/>
            <w:shd w:fill="F1F3F4"/>
          </w:tcPr>
          <w:p>
            <w:r/>
            <w:r>
              <w:rPr>
                <w:rFonts w:ascii="Arial" w:hAnsi="Arial"/>
                <w:b/>
                <w:sz w:val="16"/>
              </w:rPr>
              <w:t>Status</w:t>
            </w:r>
          </w:p>
        </w:tc>
        <w:tc>
          <w:tcPr>
            <w:tcW w:type="dxa" w:w="1500"/>
            <w:vAlign w:val="top"/>
            <w:shd w:fill="F1F3F4"/>
          </w:tcPr>
          <w:p>
            <w:r/>
            <w:r>
              <w:rPr>
                <w:rFonts w:ascii="Arial" w:hAnsi="Arial"/>
                <w:b/>
                <w:sz w:val="16"/>
              </w:rPr>
              <w:t>Naechster Pruefpunkt</w:t>
            </w:r>
          </w:p>
        </w:tc>
      </w:tr>
      <w:tr>
        <w:tc>
          <w:tcPr>
            <w:tcW w:type="dxa" w:w="1800"/>
            <w:vAlign w:val="top"/>
          </w:tcPr>
          <w:p>
            <w:r/>
            <w:r>
              <w:rPr>
                <w:rFonts w:ascii="Arial" w:hAnsi="Arial"/>
                <w:b w:val="0"/>
                <w:sz w:val="16"/>
              </w:rPr>
              <w:t>1</w:t>
            </w:r>
          </w:p>
        </w:tc>
        <w:tc>
          <w:tcPr>
            <w:tcW w:type="dxa" w:w="2500"/>
            <w:vAlign w:val="top"/>
          </w:tcPr>
          <w:p>
            <w:r/>
            <w:r>
              <w:rPr>
                <w:rFonts w:ascii="Arial" w:hAnsi="Arial"/>
                <w:b w:val="0"/>
                <w:sz w:val="16"/>
              </w:rPr>
              <w:t>Vom kanaanaeischen Religionsraum zu JHWH: El, goettlicher Rat und Israels Entstehung</w:t>
            </w:r>
          </w:p>
        </w:tc>
        <w:tc>
          <w:tcPr>
            <w:tcW w:type="dxa" w:w="3200"/>
            <w:vAlign w:val="top"/>
          </w:tcPr>
          <w:p>
            <w:r/>
            <w:r>
              <w:rPr>
                <w:rFonts w:ascii="Arial" w:hAnsi="Arial"/>
                <w:b w:val="0"/>
                <w:sz w:val="16"/>
              </w:rPr>
              <w:t>Druckreife Lesefassung V1; vollfussnotiert V1</w:t>
            </w:r>
          </w:p>
        </w:tc>
        <w:tc>
          <w:tcPr>
            <w:tcW w:type="dxa" w:w="1500"/>
            <w:vAlign w:val="top"/>
          </w:tcPr>
          <w:p>
            <w:r/>
            <w:r>
              <w:rPr>
                <w:rFonts w:ascii="Arial" w:hAnsi="Arial"/>
                <w:b w:val="0"/>
                <w:sz w:val="16"/>
              </w:rPr>
              <w:t>Neutraler Publikationsstil, Forschungsfrage, Methode, Beleggrade, Hauptthese und Grenzen der Identitaetsthese auf Endstand gebracht; nur noch Schlusslektorat.</w:t>
            </w:r>
          </w:p>
        </w:tc>
      </w:tr>
      <w:tr>
        <w:tc>
          <w:tcPr>
            <w:tcW w:type="dxa" w:w="1800"/>
            <w:vAlign w:val="top"/>
          </w:tcPr>
          <w:p>
            <w:r/>
            <w:r>
              <w:rPr>
                <w:rFonts w:ascii="Arial" w:hAnsi="Arial"/>
                <w:b w:val="0"/>
                <w:sz w:val="16"/>
              </w:rPr>
              <w:t>2</w:t>
            </w:r>
          </w:p>
        </w:tc>
        <w:tc>
          <w:tcPr>
            <w:tcW w:type="dxa" w:w="2500"/>
            <w:vAlign w:val="top"/>
          </w:tcPr>
          <w:p>
            <w:r/>
            <w:r>
              <w:rPr>
                <w:rFonts w:ascii="Arial" w:hAnsi="Arial"/>
                <w:b w:val="0"/>
                <w:sz w:val="16"/>
              </w:rPr>
              <w:t>Dtn 32,8-9, Psalm 82 und der goettliche Rat</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Textvarianten, Ratsmodell, 1 Koen 22 als Hofstaat-Kontrolltext, Anunnaki-Abgrenzung und Druckreifepruefung abgeschlossen; nur noch Schlusslektorat.</w:t>
            </w:r>
          </w:p>
        </w:tc>
      </w:tr>
      <w:tr>
        <w:tc>
          <w:tcPr>
            <w:tcW w:type="dxa" w:w="1800"/>
            <w:vAlign w:val="top"/>
          </w:tcPr>
          <w:p>
            <w:r/>
            <w:r>
              <w:rPr>
                <w:rFonts w:ascii="Arial" w:hAnsi="Arial"/>
                <w:b w:val="0"/>
                <w:sz w:val="16"/>
              </w:rPr>
              <w:t>3</w:t>
            </w:r>
          </w:p>
        </w:tc>
        <w:tc>
          <w:tcPr>
            <w:tcW w:type="dxa" w:w="2500"/>
            <w:vAlign w:val="top"/>
          </w:tcPr>
          <w:p>
            <w:r/>
            <w:r>
              <w:rPr>
                <w:rFonts w:ascii="Arial" w:hAnsi="Arial"/>
                <w:b w:val="0"/>
                <w:sz w:val="16"/>
              </w:rPr>
              <w:t>Ugarit: El, Baal, Athirat/Aschera und die Soehne Els</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Ugaritischer Vergleichsrahmen, Beleggrenzen, Identitaetsabgrenzung und Druckreifepruefung abgeschlossen; nur noch Schlusslektorat.</w:t>
            </w:r>
          </w:p>
        </w:tc>
      </w:tr>
      <w:tr>
        <w:tc>
          <w:tcPr>
            <w:tcW w:type="dxa" w:w="1800"/>
            <w:vAlign w:val="top"/>
          </w:tcPr>
          <w:p>
            <w:r/>
            <w:r>
              <w:rPr>
                <w:rFonts w:ascii="Arial" w:hAnsi="Arial"/>
                <w:b w:val="0"/>
                <w:sz w:val="16"/>
              </w:rPr>
              <w:t>4</w:t>
            </w:r>
          </w:p>
        </w:tc>
        <w:tc>
          <w:tcPr>
            <w:tcW w:type="dxa" w:w="2500"/>
            <w:vAlign w:val="top"/>
          </w:tcPr>
          <w:p>
            <w:r/>
            <w:r>
              <w:rPr>
                <w:rFonts w:ascii="Arial" w:hAnsi="Arial"/>
                <w:b w:val="0"/>
                <w:sz w:val="16"/>
              </w:rPr>
              <w:t>Aschera, Kuntillet Ajrud und Volksreligion</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Inschriftenbefund, Deutungsoptionen, Volksreligion, Maria/Jesus-Abgrenzung und Druckreifepruefung abgeschlossen; nur noch Schlusslektorat.</w:t>
            </w:r>
          </w:p>
        </w:tc>
      </w:tr>
      <w:tr>
        <w:tc>
          <w:tcPr>
            <w:tcW w:type="dxa" w:w="1800"/>
            <w:vAlign w:val="top"/>
          </w:tcPr>
          <w:p>
            <w:r/>
            <w:r>
              <w:rPr>
                <w:rFonts w:ascii="Arial" w:hAnsi="Arial"/>
                <w:b w:val="0"/>
                <w:sz w:val="16"/>
              </w:rPr>
              <w:t>5</w:t>
            </w:r>
          </w:p>
        </w:tc>
        <w:tc>
          <w:tcPr>
            <w:tcW w:type="dxa" w:w="2500"/>
            <w:vAlign w:val="top"/>
          </w:tcPr>
          <w:p>
            <w:r/>
            <w:r>
              <w:rPr>
                <w:rFonts w:ascii="Arial" w:hAnsi="Arial"/>
                <w:b w:val="0"/>
                <w:sz w:val="16"/>
              </w:rPr>
              <w:t>Baal/Hadad, El-Titel und Funktionsuebernahme durch JHWH</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Motivgeschichte, Wettergott-Komplex, Chaoskampf, Baal-Abgrenzung und Druckreifepruefung abgeschlossen; nur noch Schlusslektorat.</w:t>
            </w:r>
          </w:p>
        </w:tc>
      </w:tr>
      <w:tr>
        <w:tc>
          <w:tcPr>
            <w:tcW w:type="dxa" w:w="1800"/>
            <w:vAlign w:val="top"/>
          </w:tcPr>
          <w:p>
            <w:r/>
            <w:r>
              <w:rPr>
                <w:rFonts w:ascii="Arial" w:hAnsi="Arial"/>
                <w:b w:val="0"/>
                <w:sz w:val="16"/>
              </w:rPr>
              <w:t>6</w:t>
            </w:r>
          </w:p>
        </w:tc>
        <w:tc>
          <w:tcPr>
            <w:tcW w:type="dxa" w:w="2500"/>
            <w:vAlign w:val="top"/>
          </w:tcPr>
          <w:p>
            <w:r/>
            <w:r>
              <w:rPr>
                <w:rFonts w:ascii="Arial" w:hAnsi="Arial"/>
                <w:b w:val="0"/>
                <w:sz w:val="16"/>
              </w:rPr>
              <w:t>Second-Temple-Umdeutung: Engel, Waechter, Daemonen, Satan</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1 Henoch, Jubilaeen, DSS, Satan/Belial/Mastema, Rueckprojektionsgrenze und Druckreifepruefung abgeschlossen; nur noch Schlusslektorat.</w:t>
            </w:r>
          </w:p>
        </w:tc>
      </w:tr>
      <w:tr>
        <w:tc>
          <w:tcPr>
            <w:tcW w:type="dxa" w:w="1800"/>
            <w:vAlign w:val="top"/>
          </w:tcPr>
          <w:p>
            <w:r/>
            <w:r>
              <w:rPr>
                <w:rFonts w:ascii="Arial" w:hAnsi="Arial"/>
                <w:b w:val="0"/>
                <w:sz w:val="16"/>
              </w:rPr>
              <w:t>7</w:t>
            </w:r>
          </w:p>
        </w:tc>
        <w:tc>
          <w:tcPr>
            <w:tcW w:type="dxa" w:w="2500"/>
            <w:vAlign w:val="top"/>
          </w:tcPr>
          <w:p>
            <w:r/>
            <w:r>
              <w:rPr>
                <w:rFonts w:ascii="Arial" w:hAnsi="Arial"/>
                <w:b w:val="0"/>
                <w:sz w:val="16"/>
              </w:rPr>
              <w:t>Anunnaki, Nephilim und Vergleichsgrenzen</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ORACC/Anunna, Enuma Elish, Gen 6, Num 13, moderne Rezeptionsgrenzen und Druckreifepruefung abgeschlossen; nur noch Schlusslektorat.</w:t>
            </w:r>
          </w:p>
        </w:tc>
      </w:tr>
      <w:tr>
        <w:tc>
          <w:tcPr>
            <w:tcW w:type="dxa" w:w="1800"/>
            <w:vAlign w:val="top"/>
          </w:tcPr>
          <w:p>
            <w:r/>
            <w:r>
              <w:rPr>
                <w:rFonts w:ascii="Arial" w:hAnsi="Arial"/>
                <w:b w:val="0"/>
                <w:sz w:val="16"/>
              </w:rPr>
              <w:t>8</w:t>
            </w:r>
          </w:p>
        </w:tc>
        <w:tc>
          <w:tcPr>
            <w:tcW w:type="dxa" w:w="2500"/>
            <w:vAlign w:val="top"/>
          </w:tcPr>
          <w:p>
            <w:r/>
            <w:r>
              <w:rPr>
                <w:rFonts w:ascii="Arial" w:hAnsi="Arial"/>
                <w:b w:val="0"/>
                <w:sz w:val="16"/>
              </w:rPr>
              <w:t>Gewalt, Opfer, Plagen und Gericht als Problem des Gottesbildes</w:t>
            </w:r>
          </w:p>
        </w:tc>
        <w:tc>
          <w:tcPr>
            <w:tcW w:type="dxa" w:w="3200"/>
            <w:vAlign w:val="top"/>
          </w:tcPr>
          <w:p>
            <w:r/>
            <w:r>
              <w:rPr>
                <w:rFonts w:ascii="Arial" w:hAnsi="Arial"/>
                <w:b w:val="0"/>
                <w:sz w:val="16"/>
              </w:rPr>
              <w:t>Druckreife Lesefassung V1; vollfussnotiert V2</w:t>
            </w:r>
          </w:p>
        </w:tc>
        <w:tc>
          <w:tcPr>
            <w:tcW w:type="dxa" w:w="1500"/>
            <w:vAlign w:val="top"/>
          </w:tcPr>
          <w:p>
            <w:r/>
            <w:r>
              <w:rPr>
                <w:rFonts w:ascii="Arial" w:hAnsi="Arial"/>
                <w:b w:val="0"/>
                <w:sz w:val="16"/>
              </w:rPr>
              <w:t>Herem, Opfer, Kinderopfer/Molech, Plagen, Krieger-JHWH, ethische Bewertung und Druckreifepruefung abgeschlossen; nur noch Schlusslektorat.</w:t>
            </w:r>
          </w:p>
        </w:tc>
      </w:tr>
      <w:tr>
        <w:tc>
          <w:tcPr>
            <w:tcW w:type="dxa" w:w="1800"/>
            <w:vAlign w:val="top"/>
          </w:tcPr>
          <w:p>
            <w:r/>
            <w:r>
              <w:rPr>
                <w:rFonts w:ascii="Arial" w:hAnsi="Arial"/>
                <w:b w:val="0"/>
                <w:sz w:val="16"/>
              </w:rPr>
              <w:t>9</w:t>
            </w:r>
          </w:p>
        </w:tc>
        <w:tc>
          <w:tcPr>
            <w:tcW w:type="dxa" w:w="2500"/>
            <w:vAlign w:val="top"/>
          </w:tcPr>
          <w:p>
            <w:r/>
            <w:r>
              <w:rPr>
                <w:rFonts w:ascii="Arial" w:hAnsi="Arial"/>
                <w:b w:val="0"/>
                <w:sz w:val="16"/>
              </w:rPr>
              <w:t>Gesamtsynthese und wissenschaftliche Redaktion</w:t>
            </w:r>
          </w:p>
        </w:tc>
        <w:tc>
          <w:tcPr>
            <w:tcW w:type="dxa" w:w="3200"/>
            <w:vAlign w:val="top"/>
          </w:tcPr>
          <w:p>
            <w:r/>
            <w:r>
              <w:rPr>
                <w:rFonts w:ascii="Arial" w:hAnsi="Arial"/>
                <w:b w:val="0"/>
                <w:sz w:val="16"/>
              </w:rPr>
              <w:t>Druckreife Synthese V1; vollfussnotiert V2</w:t>
            </w:r>
          </w:p>
        </w:tc>
        <w:tc>
          <w:tcPr>
            <w:tcW w:type="dxa" w:w="1500"/>
            <w:vAlign w:val="top"/>
          </w:tcPr>
          <w:p>
            <w:r/>
            <w:r>
              <w:rPr>
                <w:rFonts w:ascii="Arial" w:hAnsi="Arial"/>
                <w:b w:val="0"/>
                <w:sz w:val="16"/>
              </w:rPr>
              <w:t>Gesamtsynthese, Thesenmatrix, Identitaetsgrenzen, Gewaltproblem und Druckreifepruefung abgeschlossen; nur noch Schlusslektorat.</w:t>
            </w:r>
          </w:p>
        </w:tc>
      </w:tr>
    </w:tbl>
    <w:p>
      <w:r>
        <w:br w:type="page"/>
      </w:r>
    </w:p>
    <w:p>
      <w:pPr>
        <w:pStyle w:val="Heading1"/>
      </w:pPr>
      <w:r>
        <w:t>Bearbeitungsstand der Redaktionskapitel</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Kapitel</w:t>
            </w:r>
          </w:p>
        </w:tc>
        <w:tc>
          <w:tcPr>
            <w:tcW w:type="dxa" w:w="2500"/>
            <w:vAlign w:val="top"/>
            <w:shd w:fill="F1F3F4"/>
          </w:tcPr>
          <w:p>
            <w:r/>
            <w:r>
              <w:rPr>
                <w:rFonts w:ascii="Arial" w:hAnsi="Arial"/>
                <w:b/>
                <w:sz w:val="16"/>
              </w:rPr>
              <w:t>Thema</w:t>
            </w:r>
          </w:p>
        </w:tc>
        <w:tc>
          <w:tcPr>
            <w:tcW w:type="dxa" w:w="3200"/>
            <w:vAlign w:val="top"/>
            <w:shd w:fill="F1F3F4"/>
          </w:tcPr>
          <w:p>
            <w:r/>
            <w:r>
              <w:rPr>
                <w:rFonts w:ascii="Arial" w:hAnsi="Arial"/>
                <w:b/>
                <w:sz w:val="16"/>
              </w:rPr>
              <w:t>Status</w:t>
            </w:r>
          </w:p>
        </w:tc>
        <w:tc>
          <w:tcPr>
            <w:tcW w:type="dxa" w:w="1500"/>
            <w:vAlign w:val="top"/>
            <w:shd w:fill="F1F3F4"/>
          </w:tcPr>
          <w:p>
            <w:r/>
            <w:r>
              <w:rPr>
                <w:rFonts w:ascii="Arial" w:hAnsi="Arial"/>
                <w:b/>
                <w:sz w:val="16"/>
              </w:rPr>
              <w:t>Naechster Pruefpunkt</w:t>
            </w:r>
          </w:p>
        </w:tc>
      </w:tr>
      <w:tr>
        <w:tc>
          <w:tcPr>
            <w:tcW w:type="dxa" w:w="1800"/>
            <w:vAlign w:val="top"/>
          </w:tcPr>
          <w:p>
            <w:r/>
            <w:r>
              <w:rPr>
                <w:rFonts w:ascii="Arial" w:hAnsi="Arial"/>
                <w:b w:val="0"/>
                <w:sz w:val="16"/>
              </w:rPr>
              <w:t>10</w:t>
            </w:r>
          </w:p>
        </w:tc>
        <w:tc>
          <w:tcPr>
            <w:tcW w:type="dxa" w:w="2500"/>
            <w:vAlign w:val="top"/>
          </w:tcPr>
          <w:p>
            <w:r/>
            <w:r>
              <w:rPr>
                <w:rFonts w:ascii="Arial" w:hAnsi="Arial"/>
                <w:b w:val="0"/>
                <w:sz w:val="16"/>
              </w:rPr>
              <w:t>Formale Endredaktion und Quellenapparat</w:t>
            </w:r>
          </w:p>
        </w:tc>
        <w:tc>
          <w:tcPr>
            <w:tcW w:type="dxa" w:w="3200"/>
            <w:vAlign w:val="top"/>
          </w:tcPr>
          <w:p>
            <w:r/>
            <w:r>
              <w:rPr>
                <w:rFonts w:ascii="Arial" w:hAnsi="Arial"/>
                <w:b w:val="0"/>
                <w:sz w:val="16"/>
              </w:rPr>
              <w:t>Druckreifer Redaktionsrahmen V1</w:t>
            </w:r>
          </w:p>
        </w:tc>
        <w:tc>
          <w:tcPr>
            <w:tcW w:type="dxa" w:w="1500"/>
            <w:vAlign w:val="top"/>
          </w:tcPr>
          <w:p>
            <w:r/>
            <w:r>
              <w:rPr>
                <w:rFonts w:ascii="Arial" w:hAnsi="Arial"/>
                <w:b w:val="0"/>
                <w:sz w:val="16"/>
              </w:rPr>
              <w:t>Zitationsstil, Quellenhierarchie, Beleggrade, Literaturgruppen, Workflow und Druckreifepruefung verbindlich festgelegt.</w:t>
            </w:r>
          </w:p>
        </w:tc>
      </w:tr>
      <w:tr>
        <w:tc>
          <w:tcPr>
            <w:tcW w:type="dxa" w:w="1800"/>
            <w:vAlign w:val="top"/>
          </w:tcPr>
          <w:p>
            <w:r/>
            <w:r>
              <w:rPr>
                <w:rFonts w:ascii="Arial" w:hAnsi="Arial"/>
                <w:b w:val="0"/>
                <w:sz w:val="16"/>
              </w:rPr>
              <w:t>11</w:t>
            </w:r>
          </w:p>
        </w:tc>
        <w:tc>
          <w:tcPr>
            <w:tcW w:type="dxa" w:w="2500"/>
            <w:vAlign w:val="top"/>
          </w:tcPr>
          <w:p>
            <w:r/>
            <w:r>
              <w:rPr>
                <w:rFonts w:ascii="Arial" w:hAnsi="Arial"/>
                <w:b w:val="0"/>
                <w:sz w:val="16"/>
              </w:rPr>
              <w:t>Endfassung: Fussnoten, Literaturverzeichnis, Schlusskapitel</w:t>
            </w:r>
          </w:p>
        </w:tc>
        <w:tc>
          <w:tcPr>
            <w:tcW w:type="dxa" w:w="3200"/>
            <w:vAlign w:val="top"/>
          </w:tcPr>
          <w:p>
            <w:r/>
            <w:r>
              <w:rPr>
                <w:rFonts w:ascii="Arial" w:hAnsi="Arial"/>
                <w:b w:val="0"/>
                <w:sz w:val="16"/>
              </w:rPr>
              <w:t>Druckreife Endfassungsgrundlage V1</w:t>
            </w:r>
          </w:p>
        </w:tc>
        <w:tc>
          <w:tcPr>
            <w:tcW w:type="dxa" w:w="1500"/>
            <w:vAlign w:val="top"/>
          </w:tcPr>
          <w:p>
            <w:r/>
            <w:r>
              <w:rPr>
                <w:rFonts w:ascii="Arial" w:hAnsi="Arial"/>
                <w:b w:val="0"/>
                <w:sz w:val="16"/>
              </w:rPr>
              <w:t>Literaturapparat, Schlussbewertung, Ergebnismatrix, Forschungsgrenzen, Endurteil und Druckreifepruefung zusammengefuehrt.</w:t>
            </w:r>
          </w:p>
        </w:tc>
      </w:tr>
      <w:tr>
        <w:tc>
          <w:tcPr>
            <w:tcW w:type="dxa" w:w="1800"/>
            <w:vAlign w:val="top"/>
          </w:tcPr>
          <w:p>
            <w:r/>
            <w:r>
              <w:rPr>
                <w:rFonts w:ascii="Arial" w:hAnsi="Arial"/>
                <w:b w:val="0"/>
                <w:sz w:val="16"/>
              </w:rPr>
              <w:t>12</w:t>
            </w:r>
          </w:p>
        </w:tc>
        <w:tc>
          <w:tcPr>
            <w:tcW w:type="dxa" w:w="2500"/>
            <w:vAlign w:val="top"/>
          </w:tcPr>
          <w:p>
            <w:r/>
            <w:r>
              <w:rPr>
                <w:rFonts w:ascii="Arial" w:hAnsi="Arial"/>
                <w:b w:val="0"/>
                <w:sz w:val="16"/>
              </w:rPr>
              <w:t>Technische Fussnoten- und Layout-Finalisierung</w:t>
            </w:r>
          </w:p>
        </w:tc>
        <w:tc>
          <w:tcPr>
            <w:tcW w:type="dxa" w:w="3200"/>
            <w:vAlign w:val="top"/>
          </w:tcPr>
          <w:p>
            <w:r/>
            <w:r>
              <w:rPr>
                <w:rFonts w:ascii="Arial" w:hAnsi="Arial"/>
                <w:b w:val="0"/>
                <w:sz w:val="16"/>
              </w:rPr>
              <w:t>Druckreifer Endredaktionspilot V1</w:t>
            </w:r>
          </w:p>
        </w:tc>
        <w:tc>
          <w:tcPr>
            <w:tcW w:type="dxa" w:w="1500"/>
            <w:vAlign w:val="top"/>
          </w:tcPr>
          <w:p>
            <w:r/>
            <w:r>
              <w:rPr>
                <w:rFonts w:ascii="Arial" w:hAnsi="Arial"/>
                <w:b w:val="0"/>
                <w:sz w:val="16"/>
              </w:rPr>
              <w:t>Quellenapparat-Pilot, Belegmatrix, Druckreife-Kriterien, Altmaterial-Regeln und Druckreifepruefung abgeschlossen.</w:t>
            </w:r>
          </w:p>
        </w:tc>
      </w:tr>
      <w:tr>
        <w:tc>
          <w:tcPr>
            <w:tcW w:type="dxa" w:w="1800"/>
            <w:vAlign w:val="top"/>
          </w:tcPr>
          <w:p>
            <w:r/>
            <w:r>
              <w:rPr>
                <w:rFonts w:ascii="Arial" w:hAnsi="Arial"/>
                <w:b w:val="0"/>
                <w:sz w:val="16"/>
              </w:rPr>
              <w:t>13</w:t>
            </w:r>
          </w:p>
        </w:tc>
        <w:tc>
          <w:tcPr>
            <w:tcW w:type="dxa" w:w="2500"/>
            <w:vAlign w:val="top"/>
          </w:tcPr>
          <w:p>
            <w:r/>
            <w:r>
              <w:rPr>
                <w:rFonts w:ascii="Arial" w:hAnsi="Arial"/>
                <w:b w:val="0"/>
                <w:sz w:val="16"/>
              </w:rPr>
              <w:t>Echte Fussnoten/Endnoten und Druckfassung</w:t>
            </w:r>
          </w:p>
        </w:tc>
        <w:tc>
          <w:tcPr>
            <w:tcW w:type="dxa" w:w="3200"/>
            <w:vAlign w:val="top"/>
          </w:tcPr>
          <w:p>
            <w:r/>
            <w:r>
              <w:rPr>
                <w:rFonts w:ascii="Arial" w:hAnsi="Arial"/>
                <w:b w:val="0"/>
                <w:sz w:val="16"/>
              </w:rPr>
              <w:t>Druckreifer Fussnotenpilot V1</w:t>
            </w:r>
          </w:p>
        </w:tc>
        <w:tc>
          <w:tcPr>
            <w:tcW w:type="dxa" w:w="1500"/>
            <w:vAlign w:val="top"/>
          </w:tcPr>
          <w:p>
            <w:r/>
            <w:r>
              <w:rPr>
                <w:rFonts w:ascii="Arial" w:hAnsi="Arial"/>
                <w:b w:val="0"/>
                <w:sz w:val="16"/>
              </w:rPr>
              <w:t>Fussnotenpraxis, Fussnotentypen, Kontrollroutine, Restfussnotierung und Druckreifepruefung festgelegt.</w:t>
            </w:r>
          </w:p>
        </w:tc>
      </w:tr>
      <w:tr>
        <w:tc>
          <w:tcPr>
            <w:tcW w:type="dxa" w:w="1800"/>
            <w:vAlign w:val="top"/>
          </w:tcPr>
          <w:p>
            <w:r/>
            <w:r>
              <w:rPr>
                <w:rFonts w:ascii="Arial" w:hAnsi="Arial"/>
                <w:b w:val="0"/>
                <w:sz w:val="16"/>
              </w:rPr>
              <w:t>14</w:t>
            </w:r>
          </w:p>
        </w:tc>
        <w:tc>
          <w:tcPr>
            <w:tcW w:type="dxa" w:w="2500"/>
            <w:vAlign w:val="top"/>
          </w:tcPr>
          <w:p>
            <w:r/>
            <w:r>
              <w:rPr>
                <w:rFonts w:ascii="Arial" w:hAnsi="Arial"/>
                <w:b w:val="0"/>
                <w:sz w:val="16"/>
              </w:rPr>
              <w:t>Vollfussnotierung und Druckfassung</w:t>
            </w:r>
          </w:p>
        </w:tc>
        <w:tc>
          <w:tcPr>
            <w:tcW w:type="dxa" w:w="3200"/>
            <w:vAlign w:val="top"/>
          </w:tcPr>
          <w:p>
            <w:r/>
            <w:r>
              <w:rPr>
                <w:rFonts w:ascii="Arial" w:hAnsi="Arial"/>
                <w:b w:val="0"/>
                <w:sz w:val="16"/>
              </w:rPr>
              <w:t>Druckreifer Abschlussfahrplan V1</w:t>
            </w:r>
          </w:p>
        </w:tc>
        <w:tc>
          <w:tcPr>
            <w:tcW w:type="dxa" w:w="1500"/>
            <w:vAlign w:val="top"/>
          </w:tcPr>
          <w:p>
            <w:r/>
            <w:r>
              <w:rPr>
                <w:rFonts w:ascii="Arial" w:hAnsi="Arial"/>
                <w:b w:val="0"/>
                <w:sz w:val="16"/>
              </w:rPr>
              <w:t>Vollfussnotierung, Literatur-Normalisierung, Altmaterial-Kuerzung, Inhaltsverzeichnis, Endlayout und Druckreifepruefung festgelegt.</w:t>
            </w:r>
          </w:p>
        </w:tc>
      </w:tr>
    </w:tbl>
    <w:p>
      <w:r>
        <w:br w:type="page"/>
      </w:r>
    </w:p>
    <w:p>
      <w:pPr>
        <w:pStyle w:val="Heading1"/>
      </w:pPr>
      <w:r>
        <w:t>Kapitel 1: Vom kanaanaeischen Religionsraum zu JHWH</w:t>
      </w:r>
    </w:p>
    <w:p>
      <w:r>
        <w:rPr>
          <w:rFonts w:ascii="Arial" w:hAnsi="Arial"/>
        </w:rPr>
        <w:t>Leitfrage: Entstand die JHWH-Religion aus einem isolierten Offenbarungsereignis heraus, oder ist sie religionsgeschichtlich als Entwicklung innerhalb des kanaanaeisch-westsemitischen Religionsraums zu rekonstruieren? Die Antwort dieses Kapitels lautet: Historisch und religionswissenschaftlich ist das zweite Modell deutlich tragfaehiger. Fruehes Israel entstand nicht ausserhalb Kanaans, sondern in enger Verbindung mit kanaanaeischen und gemischten Hochlandgruppen. In diesem Umfeld wurde JHWH zum Gott Israels und spaeter mit El, dem aelteren westsemitischen Hochgott, identifiziert.</w:t>
      </w:r>
      <w:r>
        <w:footnoteReference w:id="1"/>
      </w:r>
    </w:p>
    <w:p>
      <w:pPr>
        <w:pStyle w:val="Heading2"/>
      </w:pPr>
      <w:r>
        <w:t>1. Ergebnis in Kurzform</w:t>
      </w:r>
    </w:p>
    <w:p>
      <w:r>
        <w:rPr>
          <w:rFonts w:ascii="Arial" w:hAnsi="Arial"/>
        </w:rPr>
        <w:t>Die derzeit belastbarste Rekonstruktion ist keine einfache Gleichung 'JHWH war schon immer der einzige Gott' und auch keine pauschale Gleichung 'alle alten Goetter sind derselbe Gott'. Stattdessen ergibt sich ein gestufter Prozess: In der suedlichen Levante existierten kanaanaeische Stadt-, Familien-, Ahnen- und Lokalkulte; aus Teilen dieser Bevoelkerung und weiteren Gruppen entstand Israel; JHWH wurde zum Patronatsgott Israels; JHWH uebernahm Rang, Titel und Funktionen Els; andere goettliche Wesen wurden allmaehlich untergeordnet, bekaempft oder umgedeutet.</w:t>
      </w:r>
    </w:p>
    <w:p>
      <w:pPr>
        <w:pStyle w:val="ListBullet"/>
      </w:pPr>
      <w:r>
        <w:rPr>
          <w:rFonts w:ascii="Arial" w:hAnsi="Arial"/>
        </w:rPr>
        <w:t>Belegt ist: Israel ist ausserbiblisch spaetestens um 1208/1207 v. Chr. in Kanaan bezeugt.</w:t>
      </w:r>
    </w:p>
    <w:p>
      <w:pPr>
        <w:pStyle w:val="ListBullet"/>
      </w:pPr>
      <w:r>
        <w:rPr>
          <w:rFonts w:ascii="Arial" w:hAnsi="Arial"/>
        </w:rPr>
        <w:t>Plausibel ist: Die fruehen Israeliten gingen ueberwiegend aus kanaanaeischen und gemischten Hochlandgruppen hervor.</w:t>
      </w:r>
    </w:p>
    <w:p>
      <w:pPr>
        <w:pStyle w:val="ListBullet"/>
      </w:pPr>
      <w:r>
        <w:rPr>
          <w:rFonts w:ascii="Arial" w:hAnsi="Arial"/>
        </w:rPr>
        <w:t>Stark plausibel ist: El war der wichtigste religionsgeschichtliche Bezugspunkt fuer die spaetere Hochgottrolle JHWHs.</w:t>
      </w:r>
    </w:p>
    <w:p>
      <w:pPr>
        <w:pStyle w:val="ListBullet"/>
      </w:pPr>
      <w:r>
        <w:rPr>
          <w:rFonts w:ascii="Arial" w:hAnsi="Arial"/>
        </w:rPr>
        <w:t>Strittig bleibt: Ob JHWH urspruenglich ein eigenstaendiger suedlicher Gott war, eine lokale Erscheinung Els, oder frueh mit El verschmolz.</w:t>
      </w:r>
    </w:p>
    <w:p>
      <w:pPr>
        <w:pStyle w:val="ListBullet"/>
      </w:pPr>
      <w:r>
        <w:rPr>
          <w:rFonts w:ascii="Arial" w:hAnsi="Arial"/>
        </w:rPr>
        <w:t>Nicht belegt ist: Eine direkte Identitaet JHWH = Baal = Marduk = Anunnaki. Hier sind Vergleich, Einfluss, Polemik und Funktionsuebernahme sauber zu trennen.</w:t>
      </w:r>
    </w:p>
    <w:p>
      <w:pPr>
        <w:pStyle w:val="Heading2"/>
      </w:pPr>
      <w:r>
        <w:t>2. Methode, Quellenhierarchie und Beleggrade</w:t>
      </w:r>
    </w:p>
    <w:p>
      <w:r>
        <w:rPr>
          <w:rFonts w:ascii="Arial" w:hAnsi="Arial"/>
        </w:rPr>
        <w:t>Dieses Kapitel ist nicht als Glaubensbekenntnis und nicht als Gegenbekenntnis formuliert, sondern als religionsgeschichtliche Arbeitsgrundlage. Es trennt vier Ebenen: erstens antike Textbefunde, zweitens archaeologische und epigraphische Befunde, drittens moderne wissenschaftliche Rekonstruktion und viertens eigene Thesenbildung. Nur wenn diese Ebenen getrennt bleiben, kann die Arbeit kritisch bleiben, ohne vorschnell entweder zu harmonisieren oder zu spekulieren.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Beleggrad</w:t>
            </w:r>
          </w:p>
        </w:tc>
        <w:tc>
          <w:tcPr>
            <w:tcW w:type="dxa" w:w="2500"/>
            <w:vAlign w:val="top"/>
            <w:shd w:fill="F1F3F4"/>
          </w:tcPr>
          <w:p>
            <w:r/>
            <w:r>
              <w:rPr>
                <w:rFonts w:ascii="Arial" w:hAnsi="Arial"/>
                <w:b/>
                <w:sz w:val="16"/>
              </w:rPr>
              <w:t>Definition</w:t>
            </w:r>
          </w:p>
        </w:tc>
        <w:tc>
          <w:tcPr>
            <w:tcW w:type="dxa" w:w="3200"/>
            <w:vAlign w:val="top"/>
            <w:shd w:fill="F1F3F4"/>
          </w:tcPr>
          <w:p>
            <w:r/>
            <w:r>
              <w:rPr>
                <w:rFonts w:ascii="Arial" w:hAnsi="Arial"/>
                <w:b/>
                <w:sz w:val="16"/>
              </w:rPr>
              <w:t>Beispiel</w:t>
            </w:r>
          </w:p>
        </w:tc>
        <w:tc>
          <w:tcPr>
            <w:tcW w:type="dxa" w:w="1500"/>
            <w:vAlign w:val="top"/>
            <w:shd w:fill="F1F3F4"/>
          </w:tcPr>
          <w:p>
            <w:r/>
            <w:r>
              <w:rPr>
                <w:rFonts w:ascii="Arial" w:hAnsi="Arial"/>
                <w:b/>
                <w:sz w:val="16"/>
              </w:rPr>
              <w:t>Sprachregel</w:t>
            </w:r>
          </w:p>
        </w:tc>
      </w:tr>
      <w:tr>
        <w:tc>
          <w:tcPr>
            <w:tcW w:type="dxa" w:w="1800"/>
            <w:vAlign w:val="top"/>
          </w:tcPr>
          <w:p>
            <w:r/>
            <w:r>
              <w:rPr>
                <w:rFonts w:ascii="Arial" w:hAnsi="Arial"/>
                <w:b w:val="0"/>
                <w:sz w:val="16"/>
              </w:rPr>
              <w:t>Belegt</w:t>
            </w:r>
          </w:p>
        </w:tc>
        <w:tc>
          <w:tcPr>
            <w:tcW w:type="dxa" w:w="2500"/>
            <w:vAlign w:val="top"/>
          </w:tcPr>
          <w:p>
            <w:r/>
            <w:r>
              <w:rPr>
                <w:rFonts w:ascii="Arial" w:hAnsi="Arial"/>
                <w:b w:val="0"/>
                <w:sz w:val="16"/>
              </w:rPr>
              <w:t>Direkter Text-, Inschriften- oder Archaeologiebefund.</w:t>
            </w:r>
          </w:p>
        </w:tc>
        <w:tc>
          <w:tcPr>
            <w:tcW w:type="dxa" w:w="3200"/>
            <w:vAlign w:val="top"/>
          </w:tcPr>
          <w:p>
            <w:r/>
            <w:r>
              <w:rPr>
                <w:rFonts w:ascii="Arial" w:hAnsi="Arial"/>
                <w:b w:val="0"/>
                <w:sz w:val="16"/>
              </w:rPr>
              <w:t>Merenptah-Stele nennt Israel in Kanaan; Psalm 82 enthaelt eine Rats-/Gerichtsszene.</w:t>
            </w:r>
          </w:p>
        </w:tc>
        <w:tc>
          <w:tcPr>
            <w:tcW w:type="dxa" w:w="1500"/>
            <w:vAlign w:val="top"/>
          </w:tcPr>
          <w:p>
            <w:r/>
            <w:r>
              <w:rPr>
                <w:rFonts w:ascii="Arial" w:hAnsi="Arial"/>
                <w:b w:val="0"/>
                <w:sz w:val="16"/>
              </w:rPr>
              <w:t>Als Befund formulieren.</w:t>
            </w:r>
          </w:p>
        </w:tc>
      </w:tr>
      <w:tr>
        <w:tc>
          <w:tcPr>
            <w:tcW w:type="dxa" w:w="1800"/>
            <w:vAlign w:val="top"/>
          </w:tcPr>
          <w:p>
            <w:r/>
            <w:r>
              <w:rPr>
                <w:rFonts w:ascii="Arial" w:hAnsi="Arial"/>
                <w:b w:val="0"/>
                <w:sz w:val="16"/>
              </w:rPr>
              <w:t>Stark plausibel</w:t>
            </w:r>
          </w:p>
        </w:tc>
        <w:tc>
          <w:tcPr>
            <w:tcW w:type="dxa" w:w="2500"/>
            <w:vAlign w:val="top"/>
          </w:tcPr>
          <w:p>
            <w:r/>
            <w:r>
              <w:rPr>
                <w:rFonts w:ascii="Arial" w:hAnsi="Arial"/>
                <w:b w:val="0"/>
                <w:sz w:val="16"/>
              </w:rPr>
              <w:t>Mehrere Befundfelder weisen in dieselbe Richtung.</w:t>
            </w:r>
          </w:p>
        </w:tc>
        <w:tc>
          <w:tcPr>
            <w:tcW w:type="dxa" w:w="3200"/>
            <w:vAlign w:val="top"/>
          </w:tcPr>
          <w:p>
            <w:r/>
            <w:r>
              <w:rPr>
                <w:rFonts w:ascii="Arial" w:hAnsi="Arial"/>
                <w:b w:val="0"/>
                <w:sz w:val="16"/>
              </w:rPr>
              <w:t>JHWH uebernimmt El-Titel und El-Funktionen.</w:t>
            </w:r>
          </w:p>
        </w:tc>
        <w:tc>
          <w:tcPr>
            <w:tcW w:type="dxa" w:w="1500"/>
            <w:vAlign w:val="top"/>
          </w:tcPr>
          <w:p>
            <w:r/>
            <w:r>
              <w:rPr>
                <w:rFonts w:ascii="Arial" w:hAnsi="Arial"/>
                <w:b w:val="0"/>
                <w:sz w:val="16"/>
              </w:rPr>
              <w:t>Als Rekonstruktion formulieren.</w:t>
            </w:r>
          </w:p>
        </w:tc>
      </w:tr>
      <w:tr>
        <w:tc>
          <w:tcPr>
            <w:tcW w:type="dxa" w:w="1800"/>
            <w:vAlign w:val="top"/>
          </w:tcPr>
          <w:p>
            <w:r/>
            <w:r>
              <w:rPr>
                <w:rFonts w:ascii="Arial" w:hAnsi="Arial"/>
                <w:b w:val="0"/>
                <w:sz w:val="16"/>
              </w:rPr>
              <w:t>Plausibel/strittig</w:t>
            </w:r>
          </w:p>
        </w:tc>
        <w:tc>
          <w:tcPr>
            <w:tcW w:type="dxa" w:w="2500"/>
            <w:vAlign w:val="top"/>
          </w:tcPr>
          <w:p>
            <w:r/>
            <w:r>
              <w:rPr>
                <w:rFonts w:ascii="Arial" w:hAnsi="Arial"/>
                <w:b w:val="0"/>
                <w:sz w:val="16"/>
              </w:rPr>
              <w:t>Gute Argumente, aber offene Forschungsdebatte.</w:t>
            </w:r>
          </w:p>
        </w:tc>
        <w:tc>
          <w:tcPr>
            <w:tcW w:type="dxa" w:w="3200"/>
            <w:vAlign w:val="top"/>
          </w:tcPr>
          <w:p>
            <w:r/>
            <w:r>
              <w:rPr>
                <w:rFonts w:ascii="Arial" w:hAnsi="Arial"/>
                <w:b w:val="0"/>
                <w:sz w:val="16"/>
              </w:rPr>
              <w:t>JHWHs moegliche suedliche Herkunft; genaue Deutung 'seine Aschera'.</w:t>
            </w:r>
          </w:p>
        </w:tc>
        <w:tc>
          <w:tcPr>
            <w:tcW w:type="dxa" w:w="1500"/>
            <w:vAlign w:val="top"/>
          </w:tcPr>
          <w:p>
            <w:r/>
            <w:r>
              <w:rPr>
                <w:rFonts w:ascii="Arial" w:hAnsi="Arial"/>
                <w:b w:val="0"/>
                <w:sz w:val="16"/>
              </w:rPr>
              <w:t>Gegenposition sichtbar halten.</w:t>
            </w:r>
          </w:p>
        </w:tc>
      </w:tr>
      <w:tr>
        <w:tc>
          <w:tcPr>
            <w:tcW w:type="dxa" w:w="1800"/>
            <w:vAlign w:val="top"/>
          </w:tcPr>
          <w:p>
            <w:r/>
            <w:r>
              <w:rPr>
                <w:rFonts w:ascii="Arial" w:hAnsi="Arial"/>
                <w:b w:val="0"/>
                <w:sz w:val="16"/>
              </w:rPr>
              <w:t>Nicht belegt</w:t>
            </w:r>
          </w:p>
        </w:tc>
        <w:tc>
          <w:tcPr>
            <w:tcW w:type="dxa" w:w="2500"/>
            <w:vAlign w:val="top"/>
          </w:tcPr>
          <w:p>
            <w:r/>
            <w:r>
              <w:rPr>
                <w:rFonts w:ascii="Arial" w:hAnsi="Arial"/>
                <w:b w:val="0"/>
                <w:sz w:val="16"/>
              </w:rPr>
              <w:t>Keine tragfaehige Text- oder Traditionsbruecke.</w:t>
            </w:r>
          </w:p>
        </w:tc>
        <w:tc>
          <w:tcPr>
            <w:tcW w:type="dxa" w:w="3200"/>
            <w:vAlign w:val="top"/>
          </w:tcPr>
          <w:p>
            <w:r/>
            <w:r>
              <w:rPr>
                <w:rFonts w:ascii="Arial" w:hAnsi="Arial"/>
                <w:b w:val="0"/>
                <w:sz w:val="16"/>
              </w:rPr>
              <w:t>JHWH = Baal = Marduk = Anunnaki als direkte Identitaet.</w:t>
            </w:r>
          </w:p>
        </w:tc>
        <w:tc>
          <w:tcPr>
            <w:tcW w:type="dxa" w:w="1500"/>
            <w:vAlign w:val="top"/>
          </w:tcPr>
          <w:p>
            <w:r/>
            <w:r>
              <w:rPr>
                <w:rFonts w:ascii="Arial" w:hAnsi="Arial"/>
                <w:b w:val="0"/>
                <w:sz w:val="16"/>
              </w:rPr>
              <w:t>Nicht als Ergebnis behaupten.</w:t>
            </w:r>
          </w:p>
        </w:tc>
      </w:tr>
    </w:tbl>
    <w:p>
      <w:r>
        <w:rPr>
          <w:rFonts w:ascii="Arial" w:hAnsi="Arial"/>
        </w:rPr>
        <w:t>Die Leitthese dieser Arbeit wird daher bewusst begrenzt: Untersucht wird nicht, ob alle Goetter real dasselbe Wesen waren, sondern wie Namen, Titel, Funktionen, Ratsvorstellungen, Kultpolemiken und Gewaltansprueche in der Religionsgeschichte Israels so transformiert wurden, dass aus einem pluralen westsemitischen Umfeld ein exklusiver JHWH-Monotheismus entstehen konnte.</w:t>
      </w:r>
      <w:r>
        <w:footnoteReference w:id="2"/>
      </w:r>
    </w:p>
    <w:p>
      <w:pPr>
        <w:pStyle w:val="Heading2"/>
      </w:pPr>
      <w:r>
        <w:t>3. Historischer Ausgangspunkt: Israel entsteht in Kanaan</w:t>
      </w:r>
    </w:p>
    <w:p>
      <w:r>
        <w:rPr>
          <w:rFonts w:ascii="Arial" w:hAnsi="Arial"/>
        </w:rPr>
        <w:t>Der erste harte ausserbiblische Anker ist die Merenptah-Stele aus der Zeit um 1208/1207 v. Chr. Sie nennt Israel innerhalb Kanaans. Die genaue Art dieser Gruppe wird diskutiert, aber der Befund ist fuer die Forschungsfrage entscheidend: Israel erscheint nicht zuerst als spaetere Grossmacht und nicht als eindeutig aus Mesopotamien oder Aegypten eingewandertes Volk, sondern als soziale Groesse im kanaanaeischen Raum.</w:t>
      </w:r>
      <w:r>
        <w:footnoteReference w:id="3"/>
      </w:r>
    </w:p>
    <w:p>
      <w:r>
        <w:rPr>
          <w:rFonts w:ascii="Arial" w:hAnsi="Arial"/>
        </w:rPr>
        <w:t>Michael G. Hasel deutet die Israel-Erwaehnung der Merenptah-Stele als Hinweis auf eine sozioethnische, nichtstaedtische und wahrscheinlich agrarisch/sedentaere Gruppe in Kanaan. Avraham Faust betont, dass die Ethnogenese Israels aus Interaktion mit der spaetbronzezeitlichen, aegyptisch dominierten kanaanaeischen Gesellschaft zu verstehen ist. Yuval Gadot macht fuer die Eisenzeit-I-Hochlandsiedlungen geltend, dass die Siedlungswelle nicht einfach nur aus dem Zusammenbruch kanaanaeischer Staedte erklaert werden kann, sondern mit weiterlaufenden kanaanaeischen urbanen Entwicklungen verbunden bleibt.</w:t>
      </w:r>
      <w:r>
        <w:footnoteReference w:id="4"/>
      </w:r>
    </w:p>
    <w:p>
      <w:r>
        <w:rPr>
          <w:rFonts w:ascii="Arial" w:hAnsi="Arial"/>
        </w:rPr>
        <w:t>Daraus folgt fuer die Bibelanalyse: Es ist historisch schwach, von einem fertig vorhandenen Volk Israel auszugehen, das zuerst einen ganz anderen Pantheon hatte und dann punktuell zu JHWH wechselte. Besser ist ein Modell gemeinsamer Entstehung: Israelitische Identitaet und JHWH-Verehrung entwickeln sich ueber laengere Zeit miteinander.</w:t>
      </w:r>
    </w:p>
    <w:p>
      <w:pPr>
        <w:pStyle w:val="Heading2"/>
      </w:pPr>
      <w:r>
        <w:t>4. Religioeser Hintergrund: El, Aschera, Baal und lokale Kulte</w:t>
      </w:r>
    </w:p>
    <w:p>
      <w:r>
        <w:rPr>
          <w:rFonts w:ascii="Arial" w:hAnsi="Arial"/>
        </w:rPr>
        <w:t>Der unmittelbare religioese Hintergrund der fruehen Israeliten war vor allem westsemitisch-kanaanaeisch. Dazu gehoerten El als aelterer Hochgott, Athirat/Aschera als grosse Goettin und Mutter-/Schutzfigur, Baal/Hadad als Wetter-, Sturm-, Fruchtbarkeits- und Kriegergott, daneben Anat, Astarte, Mot, Yam, Reschef, Dagan sowie lokale Baale, Ahnen- und Familienkulte.</w:t>
      </w:r>
      <w:r>
        <w:footnoteReference w:id="5"/>
      </w:r>
    </w:p>
    <w:p>
      <w:r>
        <w:rPr>
          <w:rFonts w:ascii="Arial" w:hAnsi="Arial"/>
        </w:rPr>
        <w:t>Diese Feststellung ist fuer die Hauptthese zentral: Die Aehnlichkeiten zwischen JHWH und anderen Gottheiten sind nicht zufaellig. Sie entstehen aber nicht notwendig dadurch, dass alle diese Gottheiten historisch dieselbe Person oder dasselbe Wesen waren. Naeher liegt: JHWH wird im Lauf der israelitischen Religionsgeschichte mit El identifiziert und uebernimmt zusaetzlich Funktionen, Bilder und Machtattribute, die in der Umwelt auch von Baal/Hadad oder anderen Gottheiten getragen wurden.</w:t>
      </w:r>
    </w:p>
    <w:p>
      <w:pPr>
        <w:pStyle w:val="Heading2"/>
      </w:pPr>
      <w:r>
        <w:t>5. El als wahrscheinlichster Hauptbezugspunkt JHWHs</w:t>
      </w:r>
    </w:p>
    <w:p>
      <w:r>
        <w:rPr>
          <w:rFonts w:ascii="Arial" w:hAnsi="Arial"/>
        </w:rPr>
        <w:t>Die Linie El -&gt; JHWH ist der staerkste Kern des Modells. El ist im westsemitischen Umfeld der Hochgott, Vater der Goetter, Schoepfer-, Koenigs- und Richterfigur sowie Oberhaupt des goettlichen Rates. Mark S. Smith hebt hervor, dass die Beziehung zwischen El und JHWH komplex war und dass El-Traditionen in fruehem Israel eine zentrale Rolle spielten. Auch die Tatsache, dass der Name IsraEL selbst das Element El enthaelt, ist kein Beweis allein, aber ein wichtiges Indiz fuer die alte Bedeutung Els im Traditionsraum Israels.</w:t>
      </w:r>
      <w:r>
        <w:footnoteReference w:id="6"/>
      </w:r>
    </w:p>
    <w:p>
      <w:r>
        <w:rPr>
          <w:rFonts w:ascii="Arial" w:hAnsi="Arial"/>
        </w:rPr>
        <w:t>Entscheidend ist: Die Bibel erzaehlt keinen Mythos, in dem JHWH El besiegt oder El stirbt. Viel eher verschwimmen die Profile. Titel und Funktionen, die religionsgeschichtlich gut zu El passen, werden auf JHWH bezogen: Hoechster, Schoepfer, Vater, Koenig, Richter, Gott der Vaeter. Daraus folgt als vorsichtige, aber starke Formulierung: JHWH ersetzt El nicht einfach gewaltsam in einem erhaltenen Mythos; JHWH wird in der israelitischen Ueberlieferung mit El identifiziert und absorbiert dessen Hochgottrolle.</w:t>
      </w:r>
    </w:p>
    <w:p>
      <w:pPr>
        <w:pStyle w:val="Heading2"/>
      </w:pPr>
      <w:r>
        <w:t>6. Der goettliche Rat als Scharnier</w:t>
      </w:r>
    </w:p>
    <w:p>
      <w:r>
        <w:rPr>
          <w:rFonts w:ascii="Arial" w:hAnsi="Arial"/>
        </w:rPr>
        <w:t>Der goettliche Rat bildet das Scharnier zwischen kanaanaeischem Polytheismus und spaeterem Monotheismus. In den ugaritischen Texten ist ein Rat goettlicher Wesen unter El gut bezeugt. In der Hebraeischen Bibel bleiben Spuren solcher Vorstellungen sichtbar, besonders in Psalm 82 und Deuteronomium 32,8-9 in aelteren Textformen. Psalm 82 zeigt eine Versammlung goettlicher Wesen, in der Gericht gehalten wird. Deuteronomium 32 legt in der aelteren Lesart nahe, dass die Voelker nach der Zahl goettlicher Wesen verteilt werden und JHWH Israel als Anteil erhaelt.</w:t>
      </w:r>
      <w:r>
        <w:footnoteReference w:id="7"/>
      </w:r>
    </w:p>
    <w:p>
      <w:r>
        <w:rPr>
          <w:rFonts w:ascii="Arial" w:hAnsi="Arial"/>
        </w:rPr>
        <w:t>Fuer Kapitel 1 reicht daraus der Grundbefund: Die aeltesten erkennbaren Schichten passen nicht reibungslos zu einem abstrakten philosophischen Monotheismus. Sie passen besser zu einer Vorstellungswelt, in der es eine goettliche Ordnung, Voelkergottheiten und einen himmlischen Rat gibt. Das spaetere monotheistische Modell entsteht durch Umdeutung: JHWH ist nicht mehr einer in dieser Ordnung, sondern wird zur Spitze und schliesslich zum einzigen wirklichen Gott.</w:t>
      </w:r>
    </w:p>
    <w:p>
      <w:pPr>
        <w:pStyle w:val="Heading2"/>
      </w:pPr>
      <w:r>
        <w:t>7. Aschera und Baal als Anschlussprobleme</w:t>
      </w:r>
    </w:p>
    <w:p>
      <w:r>
        <w:rPr>
          <w:rFonts w:ascii="Arial" w:hAnsi="Arial"/>
        </w:rPr>
        <w:t>Aschera und Baal/Hadad gehoeren in Kapitel 1 als Anschlussprobleme zur Grundthese. Die Inschriften von Kuntillet Ajrud und Khirbet el-Qom mit Formulierungen wie 'JHWH und seine Aschera' zeigen, dass JHWH-Verehrung in Israel/Juda nicht immer so exklusiv war, wie spaetere normative Bibeltheologie es darstellt. Die Deutung ist aber umstritten: 'seine Aschera' kann als Goettin, Kultsymbol, heilige Baum-/Pfahlvorstellung oder Hypostase verstanden werden. Deshalb wird Aschera im Gesamtwerk als eigenes Streitdossier behandelt.</w:t>
      </w:r>
      <w:r>
        <w:footnoteReference w:id="8"/>
      </w:r>
    </w:p>
    <w:p>
      <w:r>
        <w:rPr>
          <w:rFonts w:ascii="Arial" w:hAnsi="Arial"/>
        </w:rPr>
        <w:t>Baal/Hadad ist ebenso wichtig, weil JHWH Wetter-, Sturm-, Kriegs- und Chaoskampfmotive uebernimmt. Das stuetzt aber nicht die einfache Gleichung JHWH = Baal. Besser ist: JHWH wird im israelitischen Diskurs als derjenige dargestellt, der die Funktionen konkurrierender Gottheiten ueberbietet und in sich vereinigt.</w:t>
      </w:r>
    </w:p>
    <w:p>
      <w:pPr>
        <w:pStyle w:val="Heading2"/>
      </w:pPr>
      <w:r>
        <w:t>8. Stellungnahme zur These 'derselbe Gott mit verschiedenen Namen'</w:t>
      </w:r>
    </w:p>
    <w:p>
      <w:r>
        <w:rPr>
          <w:rFonts w:ascii="Arial" w:hAnsi="Arial"/>
        </w:rPr>
        <w:t>Die These ist in einer starken und einer schwachen Form zu unterscheiden. Die starke Form lautet: El, JHWH, Baal, Marduk, Anunnaki und weitere Gottheiten seien historisch eigentlich dasselbe goettliche Wesen unter verschiedenen Namen. Diese starke Form ist nach aktueller Quellenlage nicht belegt. Sie vermischt unterschiedliche Sprachen, Zeiten, Kultorte, Textgattungen und Pantheonlogiken.</w:t>
      </w:r>
    </w:p>
    <w:p>
      <w:r>
        <w:rPr>
          <w:rFonts w:ascii="Arial" w:hAnsi="Arial"/>
        </w:rPr>
        <w:t>Die schwachere, wissenschaftlich tragfaehigere Form lautet: In der Religionsgeschichte werden aeltere Gottesfunktionen, Titel, Mythen und Herrschaftsbilder auf neue oder aufsteigende Gottheiten uebertragen. Genau das ist fuer JHWH besonders plausibel: Er wird mit El verbunden, uebernimmt Baal-/Hadad-Motive, wird nationaler Patron Israels und spaeter universaler Schoepfer- und Richtergott. Die These sollte daher nicht als Universalidentitaet formuliert werden, sondern als Transformations-, Identifikations- und Funktionsuebernahmemodell.</w:t>
      </w:r>
      <w:r>
        <w:footnoteReference w:id="9"/>
      </w:r>
    </w:p>
    <w:p>
      <w:pPr>
        <w:pStyle w:val="Heading2"/>
      </w:pPr>
      <w:r>
        <w:t>9. Ergebnis und Kapitelstatus</w:t>
      </w:r>
    </w:p>
    <w:p>
      <w:r>
        <w:rPr>
          <w:rFonts w:ascii="Arial" w:hAnsi="Arial"/>
        </w:rPr>
        <w:t>Kapitel 1 liegt als druckreife Lesefassung V1 vor. Es beantwortet die Ausgangsfrage: JHWH ist religionsgeschichtlich am besten aus dem kanaanaeisch-westsemitischen Religionsraum heraus zu rekonstruieren. El ist der wichtigste Hauptbezugspunkt, waehrend Baal/Hadad, Aschera und mesopotamische Parallelen als Funktions-, Einfluss- und Vergleichsfelder behandelt werden muessen. Damit ist die Grundlage fuer die detaillierte Pruefung von Deuteronomium 32,8-9 und Psalm 82 als Kerntexte des goettlichen Rates gelegt.</w:t>
      </w:r>
      <w:r>
        <w:footnoteReference w:id="10"/>
      </w:r>
    </w:p>
    <w:p>
      <w:pPr>
        <w:pStyle w:val="Heading2"/>
      </w:pPr>
      <w:r>
        <w:t>10. Druckreifepruefung Kapitel 1</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JHWH wird nicht isoliert, sondern aus dem kanaanaeisch-westsemitischen Religionsraum rekonstruiert.</w:t>
            </w:r>
          </w:p>
        </w:tc>
      </w:tr>
      <w:tr>
        <w:tc>
          <w:tcPr>
            <w:tcW w:type="dxa" w:w="2400"/>
            <w:vAlign w:val="top"/>
          </w:tcPr>
          <w:p>
            <w:r/>
            <w:r>
              <w:rPr>
                <w:rFonts w:ascii="Arial" w:hAnsi="Arial"/>
                <w:b w:val="0"/>
                <w:sz w:val="16"/>
              </w:rPr>
              <w:t>Hauptthese begrenzt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Transformations-, Identifikations- und Funktionsuebernahmemodell statt Universalidentitaet.</w:t>
            </w:r>
          </w:p>
        </w:tc>
      </w:tr>
      <w:tr>
        <w:tc>
          <w:tcPr>
            <w:tcW w:type="dxa" w:w="2400"/>
            <w:vAlign w:val="top"/>
          </w:tcPr>
          <w:p>
            <w:r/>
            <w:r>
              <w:rPr>
                <w:rFonts w:ascii="Arial" w:hAnsi="Arial"/>
                <w:b w:val="0"/>
                <w:sz w:val="16"/>
              </w:rPr>
              <w:t>Beleggrade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Belegt, stark plausibel, plausibel/strittig und nicht belegt werden getrennt.</w:t>
            </w:r>
          </w:p>
        </w:tc>
      </w:tr>
      <w:tr>
        <w:tc>
          <w:tcPr>
            <w:tcW w:type="dxa" w:w="2400"/>
            <w:vAlign w:val="top"/>
          </w:tcPr>
          <w:p>
            <w:r/>
            <w:r>
              <w:rPr>
                <w:rFonts w:ascii="Arial" w:hAnsi="Arial"/>
                <w:b w:val="0"/>
                <w:sz w:val="16"/>
              </w:rPr>
              <w:t>Primaer-/Sekundaeranker vorhanden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Merenptah-Stele, Ugarit/El, Dtn 32, Ps 82, Aschera-Inschriften und Forschungsliteratur.</w:t>
            </w:r>
          </w:p>
        </w:tc>
      </w:tr>
      <w:tr>
        <w:tc>
          <w:tcPr>
            <w:tcW w:type="dxa" w:w="2400"/>
            <w:vAlign w:val="top"/>
          </w:tcPr>
          <w:p>
            <w:r/>
            <w:r>
              <w:rPr>
                <w:rFonts w:ascii="Arial" w:hAnsi="Arial"/>
                <w:b w:val="0"/>
                <w:sz w:val="16"/>
              </w:rPr>
              <w:t>Offene Punkte markiert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JHWH-Herkunft, Aschera-Deutung, Baal/Hadad-Motivuebernahme und Mesopotamien als Vergleichsraum.</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Arbeitsnotizen wurden in neutrale Sachprosa ueberfuehrt.</w:t>
            </w:r>
          </w:p>
        </w:tc>
      </w:tr>
    </w:tbl>
    <w:p>
      <w:pPr>
        <w:pStyle w:val="Heading2"/>
      </w:pPr>
      <w:r>
        <w:t>11. Quellenbasis fuer Kapitel 1</w:t>
      </w:r>
    </w:p>
    <w:p>
      <w:pPr>
        <w:pStyle w:val="ListBullet"/>
      </w:pPr>
      <w:r>
        <w:rPr>
          <w:rFonts w:ascii="Arial" w:hAnsi="Arial"/>
        </w:rPr>
        <w:t>Michael G. Hasel, 'Israel in the Merneptah Stela', Bulletin of the American Schools of Oriental Research 296, 1994, DOI 10.2307/1357179.</w:t>
      </w:r>
    </w:p>
    <w:p>
      <w:pPr>
        <w:pStyle w:val="ListBullet"/>
      </w:pPr>
      <w:r>
        <w:rPr>
          <w:rFonts w:ascii="Arial" w:hAnsi="Arial"/>
        </w:rPr>
        <w:t>Avraham Faust, 'The Emergence of Israel and Theories of Ethnogenesis', in The Wiley Blackwell Companion to Ancient Israel, 2015, DOI 10.1002/9781118774199.ch9.</w:t>
      </w:r>
    </w:p>
    <w:p>
      <w:pPr>
        <w:pStyle w:val="ListBullet"/>
      </w:pPr>
      <w:r>
        <w:rPr>
          <w:rFonts w:ascii="Arial" w:hAnsi="Arial"/>
        </w:rPr>
        <w:t>Yuval Gadot, 'The Iron I Settlement Wave in the Samaria Highlands and Its Connection with the Urban Centers', Near Eastern Archaeology 82/1, 2019, DOI 10.1086/703324.</w:t>
      </w:r>
    </w:p>
    <w:p>
      <w:pPr>
        <w:pStyle w:val="ListBullet"/>
      </w:pPr>
      <w:r>
        <w:rPr>
          <w:rFonts w:ascii="Arial" w:hAnsi="Arial"/>
        </w:rPr>
        <w:t>Emanuel Pfoh, 'Cuando comienza la historia de Israel en la antigua Palestina?', Historiae 12, 2015.</w:t>
      </w:r>
    </w:p>
    <w:p>
      <w:pPr>
        <w:pStyle w:val="ListBullet"/>
      </w:pPr>
      <w:r>
        <w:rPr>
          <w:rFonts w:ascii="Arial" w:hAnsi="Arial"/>
        </w:rPr>
        <w:t>Mark S. Smith, The Origins of Biblical Monotheism: Israel's Polytheistic Background and the Ugaritic Texts, Oxford University Press, 2001, besonders Kapitel 7.</w:t>
      </w:r>
    </w:p>
    <w:p>
      <w:pPr>
        <w:pStyle w:val="ListBullet"/>
      </w:pPr>
      <w:r>
        <w:rPr>
          <w:rFonts w:ascii="Arial" w:hAnsi="Arial"/>
        </w:rPr>
        <w:t>James S. Anderson, 'El, Yahweh, and Elohim: The Evolution of God in Israel and its Theological Implications', Expository Times 128/6, 2017, DOI 10.1177/0014524616672624.</w:t>
      </w:r>
    </w:p>
    <w:p>
      <w:pPr>
        <w:pStyle w:val="ListBullet"/>
      </w:pPr>
      <w:r>
        <w:rPr>
          <w:rFonts w:ascii="Arial" w:hAnsi="Arial"/>
        </w:rPr>
        <w:t>Shane M. Thompson, 'Local Manifestations of YHWH within El's Divine Council: Psalm 82 in the Context of Israelite Religion', Journal of Biblical Literature 143/2, 2024, DOI 10.15699/jbl.1432.2024.4.</w:t>
      </w:r>
    </w:p>
    <w:p>
      <w:pPr>
        <w:pStyle w:val="ListBullet"/>
      </w:pPr>
      <w:r>
        <w:rPr>
          <w:rFonts w:ascii="Arial" w:hAnsi="Arial"/>
        </w:rPr>
        <w:t>Casper Lindblad Andresen, 'In the Council of Gods: Ethical Accountability and Divine Legitimacy in Psalm 82', Scandinavian Journal of the Old Testament, 2026, DOI 10.1080/09018328.2026.2658516.</w:t>
      </w:r>
    </w:p>
    <w:p>
      <w:pPr>
        <w:pStyle w:val="ListBullet"/>
      </w:pPr>
      <w:r>
        <w:rPr>
          <w:rFonts w:ascii="Arial" w:hAnsi="Arial"/>
        </w:rPr>
        <w:t>William M. Schniedewind u.a., 'Religion at Kuntillet Ajrud', Religions 10/3, 2019, DOI 10.3390/rel10030211.</w:t>
      </w:r>
    </w:p>
    <w:p>
      <w:pPr>
        <w:pStyle w:val="ListBullet"/>
      </w:pPr>
      <w:r>
        <w:rPr>
          <w:rFonts w:ascii="Arial" w:hAnsi="Arial"/>
        </w:rPr>
        <w:t>Jun Kim, 'Kuntillet Ajrud Yahweh and His Asherah and the Goddess Asherah...', Korean Journal of Old Testament Studies 24/3, 2018, DOI 10.24333/jkots.2018.24.3.354.</w:t>
      </w:r>
    </w:p>
    <w:p>
      <w:pPr>
        <w:pStyle w:val="Heading1"/>
      </w:pPr>
      <w:r>
        <w:t>Kapitel 2: Dtn 32,8-9, Psalm 82 und der goettliche Rat</w:t>
      </w:r>
    </w:p>
    <w:p>
      <w:r>
        <w:rPr>
          <w:rFonts w:ascii="Arial" w:hAnsi="Arial"/>
        </w:rPr>
        <w:t>Leitfrage: Belegen Deuteronomium 32,8-9 und Psalm 82, dass JHWH urspruenglich als einer unter mehreren goettlichen Wesen gedacht wurde? Die Antwort lautet: Die Texte beweisen nicht in einfacher Weise ein vollstaendig rekonstruierbares Pantheon. Sie liefern aber sehr starke Hinweise darauf, dass aeltere israelitische Traditionen mit einer goettlichen Rats- und Voelkerordnung rechneten. Gerade Dtn 32,8-9 in der aelteren Textform und Psalm 82 sind deshalb Kerntexte fuer den Uebergang vom westsemitischen Gottesrat zur spaeteren monotheistischen Deutung.</w:t>
      </w:r>
      <w:r>
        <w:footnoteReference w:id="11"/>
      </w:r>
    </w:p>
    <w:p>
      <w:pPr>
        <w:pStyle w:val="Heading2"/>
      </w:pPr>
      <w:r>
        <w:t>1. Ergebnis in Kurzform</w:t>
      </w:r>
    </w:p>
    <w:p>
      <w:pPr>
        <w:pStyle w:val="ListBullet"/>
      </w:pPr>
      <w:r>
        <w:rPr>
          <w:rFonts w:ascii="Arial" w:hAnsi="Arial"/>
        </w:rPr>
        <w:t>Dtn 32,8-9 ist textkritisch zentral, weil die aeltere Lesart wahrscheinlich nicht 'Soehne Israels', sondern 'Soehne Gottes' oder eine verwandte Form wie 'Soehne Els' voraussetzt.</w:t>
      </w:r>
    </w:p>
    <w:p>
      <w:pPr>
        <w:pStyle w:val="ListBullet"/>
      </w:pPr>
      <w:r>
        <w:rPr>
          <w:rFonts w:ascii="Arial" w:hAnsi="Arial"/>
        </w:rPr>
        <w:t>Diese aeltere Lesart beschreibt eine Voelkerordnung: Elyon, der Hoechste, verteilt die Nationen; JHWH erhaelt Israel als Anteil.</w:t>
      </w:r>
    </w:p>
    <w:p>
      <w:pPr>
        <w:pStyle w:val="ListBullet"/>
      </w:pPr>
      <w:r>
        <w:rPr>
          <w:rFonts w:ascii="Arial" w:hAnsi="Arial"/>
        </w:rPr>
        <w:t>Psalm 82 zeigt eine goettliche Versammlung, in der Gott mitten unter den Elohim Gericht haelt und die goettlichen Wesen wegen ungerechter Herrschaft verurteilt.</w:t>
      </w:r>
    </w:p>
    <w:p>
      <w:pPr>
        <w:pStyle w:val="ListBullet"/>
      </w:pPr>
      <w:r>
        <w:rPr>
          <w:rFonts w:ascii="Arial" w:hAnsi="Arial"/>
        </w:rPr>
        <w:t>Zusammen ergeben beide Texte kein spaeteres trinitarisches Modell und auch keine Anunnaki-Gleichung, sondern ein altorientalisches Ratsmodell.</w:t>
      </w:r>
    </w:p>
    <w:p>
      <w:pPr>
        <w:pStyle w:val="ListBullet"/>
      </w:pPr>
      <w:r>
        <w:rPr>
          <w:rFonts w:ascii="Arial" w:hAnsi="Arial"/>
        </w:rPr>
        <w:t>Die spaetere monotheistische Entwicklung besteht darin, dass JHWH diese Ordnung uebernimmt: Aus einem Gott Israels innerhalb einer aelteren Ordnung wird der universale Richter aller Nationen.</w:t>
      </w:r>
    </w:p>
    <w:p>
      <w:pPr>
        <w:pStyle w:val="Heading2"/>
      </w:pPr>
      <w:r>
        <w:t>2. Deuteronomium 32,8-9: Das Textproblem</w:t>
      </w:r>
    </w:p>
    <w:p>
      <w:r>
        <w:rPr>
          <w:rFonts w:ascii="Arial" w:hAnsi="Arial"/>
        </w:rPr>
        <w:t>Der Masoretische Text liest in Dtn 32,8, dass Elyon die Grenzen der Voelker 'nach der Zahl der Soehne Israels' festlegt. Diese Lesart ist in der spaeteren juedischen Texttradition normativ geworden. Das Problem: Im Kontext der Urzeit und Voelkerverteilung existiert Israel noch nicht als Gruppe, die sinnvoll als Masszahl fuer alle Voelker dienen koennte. Darum wirkt diese Lesart theologisch geglaettet.</w:t>
      </w:r>
    </w:p>
    <w:p>
      <w:r>
        <w:rPr>
          <w:rFonts w:ascii="Arial" w:hAnsi="Arial"/>
        </w:rPr>
        <w:t>Die Qumran-Lesart 4QDeutj und wichtige griechische Ueberlieferungen der Septuaginta lesen dagegen 'Soehne Gottes' beziehungsweise 'Engel Gottes'. Emanuel Tov stellt die Varianten so gegenueber: MT, Samaritanus und Peschitta lesen 'Soehne Israels'; 4QDeutj liest 'Soehne Gottes'; Teile der LXX lesen 'Soehne Gottes', die meisten LXX-Handschriften 'Engel Gottes'. Die LXX-Form 'Engel Gottes' ist wahrscheinlich bereits eine interpretierende Abschwaechung goettlicher Wesen in Richtung spaeterer Engellehre.</w:t>
      </w:r>
      <w:r>
        <w:footnoteReference w:id="12"/>
      </w:r>
    </w:p>
    <w:p>
      <w:r>
        <w:rPr>
          <w:rFonts w:ascii="Arial" w:hAnsi="Arial"/>
        </w:rPr>
        <w:t>Textkritisch ist die aeltere Lesart 'Soehne Gottes' bzw. eine noch aeltere Form 'Soehne Els' sehr stark. Sie ist die schwierigere Lesart, erklaert die spaetere monotheistische Glaettung und passt besser zur Vorstellung einer Voelkerordnung unter goettlichen Ratswesen. Die Masoretische Lesart 'Soehne Israels' laesst sich gut als spaetere Anpassung an eine Theologie verstehen, die keine eigenstaendige goettliche Mehrwesenheit mehr stehen lassen wollte.</w:t>
      </w:r>
      <w:r>
        <w:footnoteReference w:id="13"/>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Textzeuge</w:t>
            </w:r>
          </w:p>
        </w:tc>
        <w:tc>
          <w:tcPr>
            <w:tcW w:type="dxa" w:w="2500"/>
            <w:vAlign w:val="top"/>
            <w:shd w:fill="F1F3F4"/>
          </w:tcPr>
          <w:p>
            <w:r/>
            <w:r>
              <w:rPr>
                <w:rFonts w:ascii="Arial" w:hAnsi="Arial"/>
                <w:b/>
                <w:sz w:val="16"/>
              </w:rPr>
              <w:t>Lesart</w:t>
            </w:r>
          </w:p>
        </w:tc>
        <w:tc>
          <w:tcPr>
            <w:tcW w:type="dxa" w:w="3200"/>
            <w:vAlign w:val="top"/>
            <w:shd w:fill="F1F3F4"/>
          </w:tcPr>
          <w:p>
            <w:r/>
            <w:r>
              <w:rPr>
                <w:rFonts w:ascii="Arial" w:hAnsi="Arial"/>
                <w:b/>
                <w:sz w:val="16"/>
              </w:rPr>
              <w:t>Bedeutung</w:t>
            </w:r>
          </w:p>
        </w:tc>
        <w:tc>
          <w:tcPr>
            <w:tcW w:type="dxa" w:w="1500"/>
            <w:vAlign w:val="top"/>
            <w:shd w:fill="F1F3F4"/>
          </w:tcPr>
          <w:p>
            <w:r/>
            <w:r>
              <w:rPr>
                <w:rFonts w:ascii="Arial" w:hAnsi="Arial"/>
                <w:b/>
                <w:sz w:val="16"/>
              </w:rPr>
              <w:t>Bewertung</w:t>
            </w:r>
          </w:p>
        </w:tc>
      </w:tr>
      <w:tr>
        <w:tc>
          <w:tcPr>
            <w:tcW w:type="dxa" w:w="1800"/>
            <w:vAlign w:val="top"/>
          </w:tcPr>
          <w:p>
            <w:r/>
            <w:r>
              <w:rPr>
                <w:rFonts w:ascii="Arial" w:hAnsi="Arial"/>
                <w:b w:val="0"/>
                <w:sz w:val="16"/>
              </w:rPr>
              <w:t>MT</w:t>
            </w:r>
          </w:p>
        </w:tc>
        <w:tc>
          <w:tcPr>
            <w:tcW w:type="dxa" w:w="2500"/>
            <w:vAlign w:val="top"/>
          </w:tcPr>
          <w:p>
            <w:r/>
            <w:r>
              <w:rPr>
                <w:rFonts w:ascii="Arial" w:hAnsi="Arial"/>
                <w:b w:val="0"/>
                <w:sz w:val="16"/>
              </w:rPr>
              <w:t>Soehne Israels</w:t>
            </w:r>
          </w:p>
        </w:tc>
        <w:tc>
          <w:tcPr>
            <w:tcW w:type="dxa" w:w="3200"/>
            <w:vAlign w:val="top"/>
          </w:tcPr>
          <w:p>
            <w:r/>
            <w:r>
              <w:rPr>
                <w:rFonts w:ascii="Arial" w:hAnsi="Arial"/>
                <w:b w:val="0"/>
                <w:sz w:val="16"/>
              </w:rPr>
              <w:t>Spaetere hebraeische Standardlesart.</w:t>
            </w:r>
          </w:p>
        </w:tc>
        <w:tc>
          <w:tcPr>
            <w:tcW w:type="dxa" w:w="1500"/>
            <w:vAlign w:val="top"/>
          </w:tcPr>
          <w:p>
            <w:r/>
            <w:r>
              <w:rPr>
                <w:rFonts w:ascii="Arial" w:hAnsi="Arial"/>
                <w:b w:val="0"/>
                <w:sz w:val="16"/>
              </w:rPr>
              <w:t>Wirkt theologisch geglaettet; im Urzeitkontext schwierig.</w:t>
            </w:r>
          </w:p>
        </w:tc>
      </w:tr>
      <w:tr>
        <w:tc>
          <w:tcPr>
            <w:tcW w:type="dxa" w:w="1800"/>
            <w:vAlign w:val="top"/>
          </w:tcPr>
          <w:p>
            <w:r/>
            <w:r>
              <w:rPr>
                <w:rFonts w:ascii="Arial" w:hAnsi="Arial"/>
                <w:b w:val="0"/>
                <w:sz w:val="16"/>
              </w:rPr>
              <w:t>4QDeutj</w:t>
            </w:r>
          </w:p>
        </w:tc>
        <w:tc>
          <w:tcPr>
            <w:tcW w:type="dxa" w:w="2500"/>
            <w:vAlign w:val="top"/>
          </w:tcPr>
          <w:p>
            <w:r/>
            <w:r>
              <w:rPr>
                <w:rFonts w:ascii="Arial" w:hAnsi="Arial"/>
                <w:b w:val="0"/>
                <w:sz w:val="16"/>
              </w:rPr>
              <w:t>Soehne Gottes</w:t>
            </w:r>
          </w:p>
        </w:tc>
        <w:tc>
          <w:tcPr>
            <w:tcW w:type="dxa" w:w="3200"/>
            <w:vAlign w:val="top"/>
          </w:tcPr>
          <w:p>
            <w:r/>
            <w:r>
              <w:rPr>
                <w:rFonts w:ascii="Arial" w:hAnsi="Arial"/>
                <w:b w:val="0"/>
                <w:sz w:val="16"/>
              </w:rPr>
              <w:t>Qumran-Lesart aus den Schriftrollen vom Toten Meer.</w:t>
            </w:r>
          </w:p>
        </w:tc>
        <w:tc>
          <w:tcPr>
            <w:tcW w:type="dxa" w:w="1500"/>
            <w:vAlign w:val="top"/>
          </w:tcPr>
          <w:p>
            <w:r/>
            <w:r>
              <w:rPr>
                <w:rFonts w:ascii="Arial" w:hAnsi="Arial"/>
                <w:b w:val="0"/>
                <w:sz w:val="16"/>
              </w:rPr>
              <w:t>Sehr wichtiger Hinweis auf aeltere goettliche Ratsvorstellung.</w:t>
            </w:r>
          </w:p>
        </w:tc>
      </w:tr>
      <w:tr>
        <w:tc>
          <w:tcPr>
            <w:tcW w:type="dxa" w:w="1800"/>
            <w:vAlign w:val="top"/>
          </w:tcPr>
          <w:p>
            <w:r/>
            <w:r>
              <w:rPr>
                <w:rFonts w:ascii="Arial" w:hAnsi="Arial"/>
                <w:b w:val="0"/>
                <w:sz w:val="16"/>
              </w:rPr>
              <w:t>LXX</w:t>
            </w:r>
          </w:p>
        </w:tc>
        <w:tc>
          <w:tcPr>
            <w:tcW w:type="dxa" w:w="2500"/>
            <w:vAlign w:val="top"/>
          </w:tcPr>
          <w:p>
            <w:r/>
            <w:r>
              <w:rPr>
                <w:rFonts w:ascii="Arial" w:hAnsi="Arial"/>
                <w:b w:val="0"/>
                <w:sz w:val="16"/>
              </w:rPr>
              <w:t>Soehne Gottes / Engel Gottes</w:t>
            </w:r>
          </w:p>
        </w:tc>
        <w:tc>
          <w:tcPr>
            <w:tcW w:type="dxa" w:w="3200"/>
            <w:vAlign w:val="top"/>
          </w:tcPr>
          <w:p>
            <w:r/>
            <w:r>
              <w:rPr>
                <w:rFonts w:ascii="Arial" w:hAnsi="Arial"/>
                <w:b w:val="0"/>
                <w:sz w:val="16"/>
              </w:rPr>
              <w:t>Griechische Ueberlieferung mit Varianten.</w:t>
            </w:r>
          </w:p>
        </w:tc>
        <w:tc>
          <w:tcPr>
            <w:tcW w:type="dxa" w:w="1500"/>
            <w:vAlign w:val="top"/>
          </w:tcPr>
          <w:p>
            <w:r/>
            <w:r>
              <w:rPr>
                <w:rFonts w:ascii="Arial" w:hAnsi="Arial"/>
                <w:b w:val="0"/>
                <w:sz w:val="16"/>
              </w:rPr>
              <w:t>Stuetzt eine nicht-masoretische Vorlage; 'Engel' kann schon Deutung sein.</w:t>
            </w:r>
          </w:p>
        </w:tc>
      </w:tr>
      <w:tr>
        <w:tc>
          <w:tcPr>
            <w:tcW w:type="dxa" w:w="1800"/>
            <w:vAlign w:val="top"/>
          </w:tcPr>
          <w:p>
            <w:r/>
            <w:r>
              <w:rPr>
                <w:rFonts w:ascii="Arial" w:hAnsi="Arial"/>
                <w:b w:val="0"/>
                <w:sz w:val="16"/>
              </w:rPr>
              <w:t>Rekonstruktion</w:t>
            </w:r>
          </w:p>
        </w:tc>
        <w:tc>
          <w:tcPr>
            <w:tcW w:type="dxa" w:w="2500"/>
            <w:vAlign w:val="top"/>
          </w:tcPr>
          <w:p>
            <w:r/>
            <w:r>
              <w:rPr>
                <w:rFonts w:ascii="Arial" w:hAnsi="Arial"/>
                <w:b w:val="0"/>
                <w:sz w:val="16"/>
              </w:rPr>
              <w:t>Soehne Gottes / moeglich Soehne Els</w:t>
            </w:r>
          </w:p>
        </w:tc>
        <w:tc>
          <w:tcPr>
            <w:tcW w:type="dxa" w:w="3200"/>
            <w:vAlign w:val="top"/>
          </w:tcPr>
          <w:p>
            <w:r/>
            <w:r>
              <w:rPr>
                <w:rFonts w:ascii="Arial" w:hAnsi="Arial"/>
                <w:b w:val="0"/>
                <w:sz w:val="16"/>
              </w:rPr>
              <w:t>Von vielen Forschern als aelter angesehen.</w:t>
            </w:r>
          </w:p>
        </w:tc>
        <w:tc>
          <w:tcPr>
            <w:tcW w:type="dxa" w:w="1500"/>
            <w:vAlign w:val="top"/>
          </w:tcPr>
          <w:p>
            <w:r/>
            <w:r>
              <w:rPr>
                <w:rFonts w:ascii="Arial" w:hAnsi="Arial"/>
                <w:b w:val="0"/>
                <w:sz w:val="16"/>
              </w:rPr>
              <w:t>Plausibelste Arbeitslesart fuer die Religionsgeschichte.</w:t>
            </w:r>
          </w:p>
        </w:tc>
      </w:tr>
    </w:tbl>
    <w:p>
      <w:pPr>
        <w:pStyle w:val="Heading2"/>
      </w:pPr>
      <w:r>
        <w:t>3. Bedeutung von Dtn 32,8-9 fuer JHWH</w:t>
      </w:r>
    </w:p>
    <w:p>
      <w:r>
        <w:rPr>
          <w:rFonts w:ascii="Arial" w:hAnsi="Arial"/>
        </w:rPr>
        <w:t>Wenn die aeltere Lesart zugrunde gelegt wird, beschreibt Dtn 32,8-9 eine gestufte goettliche Ordnung: Elyon, der Hoechste, verteilt die Nationen unter goettliche Wesen; JHWH erhaelt Israel als Anteil und Erbbesitz. Daraus ergibt sich eine Spannung zur spaeteren Theologie, in der JHWH selbst der Hoechste und einzige Gott ist.</w:t>
      </w:r>
      <w:r>
        <w:footnoteReference w:id="14"/>
      </w:r>
    </w:p>
    <w:p>
      <w:r>
        <w:rPr>
          <w:rFonts w:ascii="Arial" w:hAnsi="Arial"/>
        </w:rPr>
        <w:t>Diese Spannung ist fuer die Hauptthese ausserordentlich wichtig. Sie legt nahe, dass JHWH in einer aelteren Traditionsschicht nicht automatisch von Anfang an als alleiniger universaler Gott aller Nationen erscheint, sondern als Gott Israels innerhalb einer breiteren Voelker- und Goetterordnung. Spaeter wird diese Ordnung umgedeutet: JHWH wird mit Elyon/El identifiziert und damit nicht mehr als Empfaenger eines Anteils, sondern als derjenige verstanden, der selbst verteilt, richtet und herrscht.</w:t>
      </w:r>
    </w:p>
    <w:p>
      <w:r>
        <w:rPr>
          <w:rFonts w:ascii="Arial" w:hAnsi="Arial"/>
        </w:rPr>
        <w:t>Vorsichtig formuliert: Dtn 32,8-9 beweist nicht, dass wir eine vollstaendige Liste der alten Elohim kennen. Der Text zeigt aber sehr wahrscheinlich, dass die Vorstellung nationaler Patronatsgottheiten oder goettlicher Ratswesen in einer aelteren Israeltradition anschlussfaehig war.</w:t>
      </w:r>
    </w:p>
    <w:p>
      <w:pPr>
        <w:pStyle w:val="Heading2"/>
      </w:pPr>
      <w:r>
        <w:t>4. Psalm 82: Gericht im goettlichen Rat</w:t>
      </w:r>
    </w:p>
    <w:p>
      <w:r>
        <w:rPr>
          <w:rFonts w:ascii="Arial" w:hAnsi="Arial"/>
        </w:rPr>
        <w:t>Psalm 82 ist der zweite Schluesseltext. Der Psalm beginnt mit einer Szene, in der Gott in der Versammlung Els bzw. inmitten der Elohim steht und richtet. Die goettlichen Wesen werden nicht nur erwaehnt, sondern angesprochen: Sie sollen gerecht richten und die Schwachen schuetzen. Weil sie das nicht tun, wird ihnen der Tod wie Menschen angekuendigt.</w:t>
      </w:r>
      <w:r>
        <w:footnoteReference w:id="15"/>
      </w:r>
    </w:p>
    <w:p>
      <w:r>
        <w:rPr>
          <w:rFonts w:ascii="Arial" w:hAnsi="Arial"/>
        </w:rPr>
        <w:t>Die alte Deutung, die Elohim seien nur menschliche Richter, ist in der modernen Forschung stark geschwaecht. Der Text arbeitet mit Rats-, Gerichts- und Goettersprache. Zugleich ist Psalm 82 kein neutraler Pantheon-Katalog. Er ist eine theologische Gerichtsszene: Die Autoritaet der anderen goettlichen Wesen wird an Gerechtigkeit gemessen und am Ende auf JHWH/Gott konzentriert.</w:t>
      </w:r>
    </w:p>
    <w:p>
      <w:r>
        <w:rPr>
          <w:rFonts w:ascii="Arial" w:hAnsi="Arial"/>
        </w:rPr>
        <w:t>Casper Lindblad Andresen liest Psalm 82 als inszeniertes Tribunal: Die Goetter werden nicht deshalb verurteilt, weil sie als Goetter existieren, sondern weil sie die Armen und Schwachen nicht schuetzen. Shane M. Thompson deutet Psalm 82 im Kontext israelitischer Religion noch staerker als Szene innerhalb von Els goettlichem Rat und diskutiert, ob die Elohim lokale Manifestationen JHWHs sein koennten. Diese neuere Diskussion zeigt: Der Text ist nicht erledigt, sondern bleibt ein aktiver Forschungsknoten.</w:t>
      </w:r>
      <w:r>
        <w:footnoteReference w:id="16"/>
      </w:r>
    </w:p>
    <w:p>
      <w:pPr>
        <w:pStyle w:val="Heading2"/>
      </w:pPr>
      <w:r>
        <w:t>5. 1 Koenige 22,19-23: Der himmlische Hofstaat als Kontrolltext</w:t>
      </w:r>
    </w:p>
    <w:p>
      <w:r>
        <w:rPr>
          <w:rFonts w:ascii="Arial" w:hAnsi="Arial"/>
        </w:rPr>
        <w:t>1 Koen 22,19-23 ist fuer dieses Kapitel kein gleich starker Text wie Dtn 32,8-9 oder Psalm 82, aber ein wichtiger Kontrolltext. Micha ben Jimla sieht JHWH auf seinem Thron sitzen; das ganze Heer des Himmels steht zu seiner Rechten und Linken. In der Szene wird beraten, wer Koenig Ahab verfuehren soll, damit er in Ramot-Gilead faellt. Schliesslich tritt ein Geist hervor und uebernimmt diese Rolle. Der Text zeigt also nicht mehrere gleichrangige Goetter, aber sehr deutlich eine himmlische Rats- oder Hofstaatsszene.</w:t>
      </w:r>
      <w:r>
        <w:footnoteReference w:id="17"/>
      </w:r>
    </w:p>
    <w:p>
      <w:r>
        <w:rPr>
          <w:rFonts w:ascii="Arial" w:hAnsi="Arial"/>
        </w:rPr>
        <w:t>Die Bedeutung fuer die Hauptthese liegt in der Struktur: JHWH handelt nicht als einsame abstrakte Macht ausserhalb jeder himmlischen Sozialordnung, sondern erscheint in einer Ratsversammlung mit beratenden und ausfuehrenden Geistwesen. Diese Wesen sind bereits klar untergeordnet; sie entscheiden nicht gegen JHWH, sondern innerhalb seines Hofstaats. Genau deshalb markiert 1 Koen 22 eine Zwischenform: aeltere Ratsvorstellungen bleiben sichtbar, sind aber schon monarchisch auf JHWH als thronenden Herrscher konzentriert.</w:t>
      </w:r>
    </w:p>
    <w:p>
      <w:r>
        <w:rPr>
          <w:rFonts w:ascii="Arial" w:hAnsi="Arial"/>
        </w:rPr>
        <w:t>Damit unterscheidet sich 1 Koen 22 von Psalm 82. Psalm 82 kann als Gericht ueber andere Elohim gelesen werden; 1 Koen 22 zeigt eher eine himmlische Verwaltungsszene. Beide zusammen helfen, die Entwicklung nicht zu grob zu zeichnen: Es gibt nicht nur 'Polytheismus' oder 'Monotheismus', sondern Zwischenmodelle mit Ratswesen, Boten, Geistern, Heerscharen und Hofstaat.</w:t>
      </w:r>
    </w:p>
    <w:p>
      <w:r>
        <w:br w:type="page"/>
      </w:r>
    </w:p>
    <w:p>
      <w:pPr>
        <w:pStyle w:val="Heading2"/>
      </w:pPr>
      <w:r>
        <w:t>6. Zusammenschau: Dtn 32, Psalm 82 und 1 Koen 22</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Text</w:t>
            </w:r>
          </w:p>
        </w:tc>
        <w:tc>
          <w:tcPr>
            <w:tcW w:type="dxa" w:w="2500"/>
            <w:vAlign w:val="top"/>
            <w:shd w:fill="F1F3F4"/>
          </w:tcPr>
          <w:p>
            <w:r/>
            <w:r>
              <w:rPr>
                <w:rFonts w:ascii="Arial" w:hAnsi="Arial"/>
                <w:b/>
                <w:sz w:val="16"/>
              </w:rPr>
              <w:t>Befund</w:t>
            </w:r>
          </w:p>
        </w:tc>
        <w:tc>
          <w:tcPr>
            <w:tcW w:type="dxa" w:w="3200"/>
            <w:vAlign w:val="top"/>
            <w:shd w:fill="F1F3F4"/>
          </w:tcPr>
          <w:p>
            <w:r/>
            <w:r>
              <w:rPr>
                <w:rFonts w:ascii="Arial" w:hAnsi="Arial"/>
                <w:b/>
                <w:sz w:val="16"/>
              </w:rPr>
              <w:t>Bedeutung</w:t>
            </w:r>
          </w:p>
        </w:tc>
        <w:tc>
          <w:tcPr>
            <w:tcW w:type="dxa" w:w="1500"/>
            <w:vAlign w:val="top"/>
            <w:shd w:fill="F1F3F4"/>
          </w:tcPr>
          <w:p>
            <w:r/>
            <w:r>
              <w:rPr>
                <w:rFonts w:ascii="Arial" w:hAnsi="Arial"/>
                <w:b/>
                <w:sz w:val="16"/>
              </w:rPr>
              <w:t>Status</w:t>
            </w:r>
          </w:p>
        </w:tc>
      </w:tr>
      <w:tr>
        <w:tc>
          <w:tcPr>
            <w:tcW w:type="dxa" w:w="1800"/>
            <w:vAlign w:val="top"/>
          </w:tcPr>
          <w:p>
            <w:r/>
            <w:r>
              <w:rPr>
                <w:rFonts w:ascii="Arial" w:hAnsi="Arial"/>
                <w:b w:val="0"/>
                <w:sz w:val="16"/>
              </w:rPr>
              <w:t>Dtn 32,8-9</w:t>
            </w:r>
          </w:p>
        </w:tc>
        <w:tc>
          <w:tcPr>
            <w:tcW w:type="dxa" w:w="2500"/>
            <w:vAlign w:val="top"/>
          </w:tcPr>
          <w:p>
            <w:r/>
            <w:r>
              <w:rPr>
                <w:rFonts w:ascii="Arial" w:hAnsi="Arial"/>
                <w:b w:val="0"/>
                <w:sz w:val="16"/>
              </w:rPr>
              <w:t>Voelker werden nach goettlichen Wesen verteilt; JHWH erhaelt Israel.</w:t>
            </w:r>
          </w:p>
        </w:tc>
        <w:tc>
          <w:tcPr>
            <w:tcW w:type="dxa" w:w="3200"/>
            <w:vAlign w:val="top"/>
          </w:tcPr>
          <w:p>
            <w:r/>
            <w:r>
              <w:rPr>
                <w:rFonts w:ascii="Arial" w:hAnsi="Arial"/>
                <w:b w:val="0"/>
                <w:sz w:val="16"/>
              </w:rPr>
              <w:t>JHWH erscheint in einer aelteren Ordnung als Gott Israels.</w:t>
            </w:r>
          </w:p>
        </w:tc>
        <w:tc>
          <w:tcPr>
            <w:tcW w:type="dxa" w:w="1500"/>
            <w:vAlign w:val="top"/>
          </w:tcPr>
          <w:p>
            <w:r/>
            <w:r>
              <w:rPr>
                <w:rFonts w:ascii="Arial" w:hAnsi="Arial"/>
                <w:b w:val="0"/>
                <w:sz w:val="16"/>
              </w:rPr>
              <w:t>Plausibel, textkritisch stark.</w:t>
            </w:r>
          </w:p>
        </w:tc>
      </w:tr>
      <w:tr>
        <w:tc>
          <w:tcPr>
            <w:tcW w:type="dxa" w:w="1800"/>
            <w:vAlign w:val="top"/>
          </w:tcPr>
          <w:p>
            <w:r/>
            <w:r>
              <w:rPr>
                <w:rFonts w:ascii="Arial" w:hAnsi="Arial"/>
                <w:b w:val="0"/>
                <w:sz w:val="16"/>
              </w:rPr>
              <w:t>Psalm 82</w:t>
            </w:r>
          </w:p>
        </w:tc>
        <w:tc>
          <w:tcPr>
            <w:tcW w:type="dxa" w:w="2500"/>
            <w:vAlign w:val="top"/>
          </w:tcPr>
          <w:p>
            <w:r/>
            <w:r>
              <w:rPr>
                <w:rFonts w:ascii="Arial" w:hAnsi="Arial"/>
                <w:b w:val="0"/>
                <w:sz w:val="16"/>
              </w:rPr>
              <w:t>Gott richtet inmitten der Elohim und entzieht ihnen Legitimation.</w:t>
            </w:r>
          </w:p>
        </w:tc>
        <w:tc>
          <w:tcPr>
            <w:tcW w:type="dxa" w:w="3200"/>
            <w:vAlign w:val="top"/>
          </w:tcPr>
          <w:p>
            <w:r/>
            <w:r>
              <w:rPr>
                <w:rFonts w:ascii="Arial" w:hAnsi="Arial"/>
                <w:b w:val="0"/>
                <w:sz w:val="16"/>
              </w:rPr>
              <w:t>Goettliche Ratswesen werden unter ein hohes Gericht gestellt.</w:t>
            </w:r>
          </w:p>
        </w:tc>
        <w:tc>
          <w:tcPr>
            <w:tcW w:type="dxa" w:w="1500"/>
            <w:vAlign w:val="top"/>
          </w:tcPr>
          <w:p>
            <w:r/>
            <w:r>
              <w:rPr>
                <w:rFonts w:ascii="Arial" w:hAnsi="Arial"/>
                <w:b w:val="0"/>
                <w:sz w:val="16"/>
              </w:rPr>
              <w:t>Belegt als Textbefund; Deutung strittig.</w:t>
            </w:r>
          </w:p>
        </w:tc>
      </w:tr>
      <w:tr>
        <w:tc>
          <w:tcPr>
            <w:tcW w:type="dxa" w:w="1800"/>
            <w:vAlign w:val="top"/>
          </w:tcPr>
          <w:p>
            <w:r/>
            <w:r>
              <w:rPr>
                <w:rFonts w:ascii="Arial" w:hAnsi="Arial"/>
                <w:b w:val="0"/>
                <w:sz w:val="16"/>
              </w:rPr>
              <w:t>1 Koen 22,19-23</w:t>
            </w:r>
          </w:p>
        </w:tc>
        <w:tc>
          <w:tcPr>
            <w:tcW w:type="dxa" w:w="2500"/>
            <w:vAlign w:val="top"/>
          </w:tcPr>
          <w:p>
            <w:r/>
            <w:r>
              <w:rPr>
                <w:rFonts w:ascii="Arial" w:hAnsi="Arial"/>
                <w:b w:val="0"/>
                <w:sz w:val="16"/>
              </w:rPr>
              <w:t>JHWH thront, das Heer des Himmels steht um ihn; ein Geist uebernimmt einen Auftrag.</w:t>
            </w:r>
          </w:p>
        </w:tc>
        <w:tc>
          <w:tcPr>
            <w:tcW w:type="dxa" w:w="3200"/>
            <w:vAlign w:val="top"/>
          </w:tcPr>
          <w:p>
            <w:r/>
            <w:r>
              <w:rPr>
                <w:rFonts w:ascii="Arial" w:hAnsi="Arial"/>
                <w:b w:val="0"/>
                <w:sz w:val="16"/>
              </w:rPr>
              <w:t>Der Rat erscheint als untergeordneter Hofstaat.</w:t>
            </w:r>
          </w:p>
        </w:tc>
        <w:tc>
          <w:tcPr>
            <w:tcW w:type="dxa" w:w="1500"/>
            <w:vAlign w:val="top"/>
          </w:tcPr>
          <w:p>
            <w:r/>
            <w:r>
              <w:rPr>
                <w:rFonts w:ascii="Arial" w:hAnsi="Arial"/>
                <w:b w:val="0"/>
                <w:sz w:val="16"/>
              </w:rPr>
              <w:t>Belegt als himmlische Rats-/Hofszene.</w:t>
            </w:r>
          </w:p>
        </w:tc>
      </w:tr>
      <w:tr>
        <w:tc>
          <w:tcPr>
            <w:tcW w:type="dxa" w:w="1800"/>
            <w:vAlign w:val="top"/>
          </w:tcPr>
          <w:p>
            <w:r/>
            <w:r>
              <w:rPr>
                <w:rFonts w:ascii="Arial" w:hAnsi="Arial"/>
                <w:b w:val="0"/>
                <w:sz w:val="16"/>
              </w:rPr>
              <w:t>Gemeinsamer Effekt</w:t>
            </w:r>
          </w:p>
        </w:tc>
        <w:tc>
          <w:tcPr>
            <w:tcW w:type="dxa" w:w="2500"/>
            <w:vAlign w:val="top"/>
          </w:tcPr>
          <w:p>
            <w:r/>
            <w:r>
              <w:rPr>
                <w:rFonts w:ascii="Arial" w:hAnsi="Arial"/>
                <w:b w:val="0"/>
                <w:sz w:val="16"/>
              </w:rPr>
              <w:t>Voelkerordnung, goettlicher Gerichtshof und himmlischer Hofstaat.</w:t>
            </w:r>
          </w:p>
        </w:tc>
        <w:tc>
          <w:tcPr>
            <w:tcW w:type="dxa" w:w="3200"/>
            <w:vAlign w:val="top"/>
          </w:tcPr>
          <w:p>
            <w:r/>
            <w:r>
              <w:rPr>
                <w:rFonts w:ascii="Arial" w:hAnsi="Arial"/>
                <w:b w:val="0"/>
                <w:sz w:val="16"/>
              </w:rPr>
              <w:t>JHWH/El wird zur universalen Richter- und Herrscherspitze.</w:t>
            </w:r>
          </w:p>
        </w:tc>
        <w:tc>
          <w:tcPr>
            <w:tcW w:type="dxa" w:w="1500"/>
            <w:vAlign w:val="top"/>
          </w:tcPr>
          <w:p>
            <w:r/>
            <w:r>
              <w:rPr>
                <w:rFonts w:ascii="Arial" w:hAnsi="Arial"/>
                <w:b w:val="0"/>
                <w:sz w:val="16"/>
              </w:rPr>
              <w:t>Kern des Uebergangsmodells.</w:t>
            </w:r>
          </w:p>
        </w:tc>
      </w:tr>
    </w:tbl>
    <w:p>
      <w:r>
        <w:rPr>
          <w:rFonts w:ascii="Arial" w:hAnsi="Arial"/>
        </w:rPr>
        <w:t>Zusammen zeigen die Texte eine Bewegung: Dtn 32 bewahrt die Vorstellung einer verteilten Voelker- und Goetterordnung; Psalm 82 zeigt die Delegitimierung ungerechter goettlicher Herrschaft; 1 Koen 22 zeigt eine bereits staerker hierarchisierte Hofstaatsszene. Im Ergebnis werden Ratsmacht, Voelkerordnung und universales Gericht auf den Gott Israels konzentriert. Genau hier liegt ein moeglicher Mechanismus des Uebergangs vom goettlichen Rat zum Monotheismus.</w:t>
      </w:r>
    </w:p>
    <w:p>
      <w:pPr>
        <w:pStyle w:val="Heading2"/>
      </w:pPr>
      <w:r>
        <w:t>7. Stellungnahme zur These 'JHWH war einer der Elohim'</w:t>
      </w:r>
    </w:p>
    <w:p>
      <w:r>
        <w:rPr>
          <w:rFonts w:ascii="Arial" w:hAnsi="Arial"/>
        </w:rPr>
        <w:t>Die These ist in einer vorsichtigen Form gut begruendbar: In einer aelteren Traditionsschicht kann JHWH als Gott Israels innerhalb einer breiteren goettlichen Ordnung verstanden werden. Dtn 32,8-9 ist dafuer der staerkste Textanker. Psalm 82 zeigt, dass goettliche Mehrwesenheit und Gericht ueber solche Wesen im biblischen Material nicht vollstaendig getilgt wurden.</w:t>
      </w:r>
    </w:p>
    <w:p>
      <w:r>
        <w:rPr>
          <w:rFonts w:ascii="Arial" w:hAnsi="Arial"/>
        </w:rPr>
        <w:t>Nicht sauber waere dagegen die Aussage, JHWH sei eindeutig und abschliessend als 'niedriger Gott' eines voll rekonstruierbaren Pantheons belegt. Der Text sagt nicht: JHWH ist niedrig. Er sagt auch nicht: El entmachtet JHWH oder JHWH stuerzt El. Was belegbar ist, ist die aeltere Ordnungssprache. Was plausibel ist, ist eine spaetere Identifikation JHWHs mit El/Elyon. Was spekulativ bleibt, sind genaue Machtkaempfe unter Goettern.</w:t>
      </w:r>
    </w:p>
    <w:p>
      <w:pPr>
        <w:pStyle w:val="Heading2"/>
      </w:pPr>
      <w:r>
        <w:t>8. Antwortmatrix zu Kapitel 2</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Aussage</w:t>
            </w:r>
          </w:p>
        </w:tc>
        <w:tc>
          <w:tcPr>
            <w:tcW w:type="dxa" w:w="2500"/>
            <w:vAlign w:val="top"/>
            <w:shd w:fill="F1F3F4"/>
          </w:tcPr>
          <w:p>
            <w:r/>
            <w:r>
              <w:rPr>
                <w:rFonts w:ascii="Arial" w:hAnsi="Arial"/>
                <w:b/>
                <w:sz w:val="16"/>
              </w:rPr>
              <w:t>Beleggrad</w:t>
            </w:r>
          </w:p>
        </w:tc>
        <w:tc>
          <w:tcPr>
            <w:tcW w:type="dxa" w:w="3200"/>
            <w:vAlign w:val="top"/>
            <w:shd w:fill="F1F3F4"/>
          </w:tcPr>
          <w:p>
            <w:r/>
            <w:r>
              <w:rPr>
                <w:rFonts w:ascii="Arial" w:hAnsi="Arial"/>
                <w:b/>
                <w:sz w:val="16"/>
              </w:rPr>
              <w:t>Begruendung</w:t>
            </w:r>
          </w:p>
        </w:tc>
        <w:tc>
          <w:tcPr>
            <w:tcW w:type="dxa" w:w="1500"/>
            <w:vAlign w:val="top"/>
            <w:shd w:fill="F1F3F4"/>
          </w:tcPr>
          <w:p>
            <w:r/>
            <w:r>
              <w:rPr>
                <w:rFonts w:ascii="Arial" w:hAnsi="Arial"/>
                <w:b/>
                <w:sz w:val="16"/>
              </w:rPr>
              <w:t>Folgerung</w:t>
            </w:r>
          </w:p>
        </w:tc>
      </w:tr>
      <w:tr>
        <w:tc>
          <w:tcPr>
            <w:tcW w:type="dxa" w:w="1800"/>
            <w:vAlign w:val="top"/>
          </w:tcPr>
          <w:p>
            <w:r/>
            <w:r>
              <w:rPr>
                <w:rFonts w:ascii="Arial" w:hAnsi="Arial"/>
                <w:b w:val="0"/>
                <w:sz w:val="16"/>
              </w:rPr>
              <w:t>Psalm 82 enthaelt eine goettliche Rats- und Gerichtsszene.</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Der Text spricht von der Versammlung Els/Gottes und von Elohim, die gerichtet werden.</w:t>
            </w:r>
          </w:p>
        </w:tc>
        <w:tc>
          <w:tcPr>
            <w:tcW w:type="dxa" w:w="1500"/>
            <w:vAlign w:val="top"/>
          </w:tcPr>
          <w:p>
            <w:r/>
            <w:r>
              <w:rPr>
                <w:rFonts w:ascii="Arial" w:hAnsi="Arial"/>
                <w:b w:val="0"/>
                <w:sz w:val="16"/>
              </w:rPr>
              <w:t>Als starker Textbefund verwenden.</w:t>
            </w:r>
          </w:p>
        </w:tc>
      </w:tr>
      <w:tr>
        <w:tc>
          <w:tcPr>
            <w:tcW w:type="dxa" w:w="1800"/>
            <w:vAlign w:val="top"/>
          </w:tcPr>
          <w:p>
            <w:r/>
            <w:r>
              <w:rPr>
                <w:rFonts w:ascii="Arial" w:hAnsi="Arial"/>
                <w:b w:val="0"/>
                <w:sz w:val="16"/>
              </w:rPr>
              <w:t>Dtn 32,8-9 bewahrt wahrscheinlich eine aeltere Lesart 'Soehne Gottes/Els'.</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4QDeutj und LXX stehen gegen MT 'Soehne Israels'; die schwierigere Lesart erklaert die spaetere Glaettung.</w:t>
            </w:r>
          </w:p>
        </w:tc>
        <w:tc>
          <w:tcPr>
            <w:tcW w:type="dxa" w:w="1500"/>
            <w:vAlign w:val="top"/>
          </w:tcPr>
          <w:p>
            <w:r/>
            <w:r>
              <w:rPr>
                <w:rFonts w:ascii="Arial" w:hAnsi="Arial"/>
                <w:b w:val="0"/>
                <w:sz w:val="16"/>
              </w:rPr>
              <w:t>Als textkritisch starkes Argument verwenden.</w:t>
            </w:r>
          </w:p>
        </w:tc>
      </w:tr>
      <w:tr>
        <w:tc>
          <w:tcPr>
            <w:tcW w:type="dxa" w:w="1800"/>
            <w:vAlign w:val="top"/>
          </w:tcPr>
          <w:p>
            <w:r/>
            <w:r>
              <w:rPr>
                <w:rFonts w:ascii="Arial" w:hAnsi="Arial"/>
                <w:b w:val="0"/>
                <w:sz w:val="16"/>
              </w:rPr>
              <w:t>JHWH erscheint in einer aelteren Schicht als Gott Israels innerhalb einer Voelkerordnung.</w:t>
            </w:r>
          </w:p>
        </w:tc>
        <w:tc>
          <w:tcPr>
            <w:tcW w:type="dxa" w:w="2500"/>
            <w:vAlign w:val="top"/>
          </w:tcPr>
          <w:p>
            <w:r/>
            <w:r>
              <w:rPr>
                <w:rFonts w:ascii="Arial" w:hAnsi="Arial"/>
                <w:b w:val="0"/>
                <w:sz w:val="16"/>
              </w:rPr>
              <w:t>Plausibel bis stark plausibel</w:t>
            </w:r>
          </w:p>
        </w:tc>
        <w:tc>
          <w:tcPr>
            <w:tcW w:type="dxa" w:w="3200"/>
            <w:vAlign w:val="top"/>
          </w:tcPr>
          <w:p>
            <w:r/>
            <w:r>
              <w:rPr>
                <w:rFonts w:ascii="Arial" w:hAnsi="Arial"/>
                <w:b w:val="0"/>
                <w:sz w:val="16"/>
              </w:rPr>
              <w:t>Dtn 32,9: JHWHs Anteil ist Israel/Jakob; im Kontext der Voelkerverteilung gut erklaerbar.</w:t>
            </w:r>
          </w:p>
        </w:tc>
        <w:tc>
          <w:tcPr>
            <w:tcW w:type="dxa" w:w="1500"/>
            <w:vAlign w:val="top"/>
          </w:tcPr>
          <w:p>
            <w:r/>
            <w:r>
              <w:rPr>
                <w:rFonts w:ascii="Arial" w:hAnsi="Arial"/>
                <w:b w:val="0"/>
                <w:sz w:val="16"/>
              </w:rPr>
              <w:t>Als religionsgeschichtliche Rekonstruktion formulieren.</w:t>
            </w:r>
          </w:p>
        </w:tc>
      </w:tr>
      <w:tr>
        <w:tc>
          <w:tcPr>
            <w:tcW w:type="dxa" w:w="1800"/>
            <w:vAlign w:val="top"/>
          </w:tcPr>
          <w:p>
            <w:r/>
            <w:r>
              <w:rPr>
                <w:rFonts w:ascii="Arial" w:hAnsi="Arial"/>
                <w:b w:val="0"/>
                <w:sz w:val="16"/>
              </w:rPr>
              <w:t>1 Koen 22 zeigt einen untergeordneten himmlischen Hofstaat.</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JHWH thront; das Heer des Himmels steht um ihn; ein Geist uebernimmt einen Auftrag.</w:t>
            </w:r>
          </w:p>
        </w:tc>
        <w:tc>
          <w:tcPr>
            <w:tcW w:type="dxa" w:w="1500"/>
            <w:vAlign w:val="top"/>
          </w:tcPr>
          <w:p>
            <w:r/>
            <w:r>
              <w:rPr>
                <w:rFonts w:ascii="Arial" w:hAnsi="Arial"/>
                <w:b w:val="0"/>
                <w:sz w:val="16"/>
              </w:rPr>
              <w:t>Als Kontrolltext fuer Rats-/Hofvorstellungen verwenden.</w:t>
            </w:r>
          </w:p>
        </w:tc>
      </w:tr>
      <w:tr>
        <w:tc>
          <w:tcPr>
            <w:tcW w:type="dxa" w:w="1800"/>
            <w:vAlign w:val="top"/>
          </w:tcPr>
          <w:p>
            <w:r/>
            <w:r>
              <w:rPr>
                <w:rFonts w:ascii="Arial" w:hAnsi="Arial"/>
                <w:b w:val="0"/>
                <w:sz w:val="16"/>
              </w:rPr>
              <w:t>JHWH war urspruenglich ein 'niedriger Gott'.</w:t>
            </w:r>
          </w:p>
        </w:tc>
        <w:tc>
          <w:tcPr>
            <w:tcW w:type="dxa" w:w="2500"/>
            <w:vAlign w:val="top"/>
          </w:tcPr>
          <w:p>
            <w:r/>
            <w:r>
              <w:rPr>
                <w:rFonts w:ascii="Arial" w:hAnsi="Arial"/>
                <w:b w:val="0"/>
                <w:sz w:val="16"/>
              </w:rPr>
              <w:t>Strittig/nicht direkt belegt</w:t>
            </w:r>
          </w:p>
        </w:tc>
        <w:tc>
          <w:tcPr>
            <w:tcW w:type="dxa" w:w="3200"/>
            <w:vAlign w:val="top"/>
          </w:tcPr>
          <w:p>
            <w:r/>
            <w:r>
              <w:rPr>
                <w:rFonts w:ascii="Arial" w:hAnsi="Arial"/>
                <w:b w:val="0"/>
                <w:sz w:val="16"/>
              </w:rPr>
              <w:t>Dtn 32 kann JHWH als Anteilsempfaenger zeigen, aber keine Rangliste oder Minderwertigkeit.</w:t>
            </w:r>
          </w:p>
        </w:tc>
        <w:tc>
          <w:tcPr>
            <w:tcW w:type="dxa" w:w="1500"/>
            <w:vAlign w:val="top"/>
          </w:tcPr>
          <w:p>
            <w:r/>
            <w:r>
              <w:rPr>
                <w:rFonts w:ascii="Arial" w:hAnsi="Arial"/>
                <w:b w:val="0"/>
                <w:sz w:val="16"/>
              </w:rPr>
              <w:t>Nicht als sichere Aussage behaupten.</w:t>
            </w:r>
          </w:p>
        </w:tc>
      </w:tr>
      <w:tr>
        <w:tc>
          <w:tcPr>
            <w:tcW w:type="dxa" w:w="1800"/>
            <w:vAlign w:val="top"/>
          </w:tcPr>
          <w:p>
            <w:r/>
            <w:r>
              <w:rPr>
                <w:rFonts w:ascii="Arial" w:hAnsi="Arial"/>
                <w:b w:val="0"/>
                <w:sz w:val="16"/>
              </w:rPr>
              <w:t>Die Texte belegen einen realen Kampf gleichrangiger Goetter.</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Dtn 32, Ps 82 und 1 Koen 22 zeigen Ordnung, Gericht und Hofstaat, aber keinen historischen Goetterkrieg.</w:t>
            </w:r>
          </w:p>
        </w:tc>
        <w:tc>
          <w:tcPr>
            <w:tcW w:type="dxa" w:w="1500"/>
            <w:vAlign w:val="top"/>
          </w:tcPr>
          <w:p>
            <w:r/>
            <w:r>
              <w:rPr>
                <w:rFonts w:ascii="Arial" w:hAnsi="Arial"/>
                <w:b w:val="0"/>
                <w:sz w:val="16"/>
              </w:rPr>
              <w:t>Nur als Motiv-/Deutungsfrage weiterfuehren.</w:t>
            </w:r>
          </w:p>
        </w:tc>
      </w:tr>
      <w:tr>
        <w:tc>
          <w:tcPr>
            <w:tcW w:type="dxa" w:w="1800"/>
            <w:vAlign w:val="top"/>
          </w:tcPr>
          <w:p>
            <w:r/>
            <w:r>
              <w:rPr>
                <w:rFonts w:ascii="Arial" w:hAnsi="Arial"/>
                <w:b w:val="0"/>
                <w:sz w:val="16"/>
              </w:rPr>
              <w:t>Elohim in diesen Texten sind Anunnaki.</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Unterschiedliche Sprach-, Text- und Traditionsraeume; nur strukturelle Vergleiche sind zulaessig.</w:t>
            </w:r>
          </w:p>
        </w:tc>
        <w:tc>
          <w:tcPr>
            <w:tcW w:type="dxa" w:w="1500"/>
            <w:vAlign w:val="top"/>
          </w:tcPr>
          <w:p>
            <w:r/>
            <w:r>
              <w:rPr>
                <w:rFonts w:ascii="Arial" w:hAnsi="Arial"/>
                <w:b w:val="0"/>
                <w:sz w:val="16"/>
              </w:rPr>
              <w:t>Abgrenzen.</w:t>
            </w:r>
          </w:p>
        </w:tc>
      </w:tr>
    </w:tbl>
    <w:p>
      <w:pPr>
        <w:pStyle w:val="Heading2"/>
      </w:pPr>
      <w:r>
        <w:t>9. Abgrenzung: keine Anunnaki- oder Prae-Astronautik-Lesart</w:t>
      </w:r>
    </w:p>
    <w:p>
      <w:r>
        <w:rPr>
          <w:rFonts w:ascii="Arial" w:hAnsi="Arial"/>
        </w:rPr>
        <w:t>Dtn 32 und Psalm 82 bieten keine Grundlage fuer eine direkte Gleichsetzung von Elohim mit Anunnaki oder ausserirdischen Wesen. 'Elohim' ist ein hebraeischer Kontextbegriff; 'Anunna/Anunnaki' ist eine mesopotamische Kategorie goettlicher Gruppen. Vergleichbar sind Ratsstrukturen, Hierarchien und Mythenmotive. Nicht belegt ist eine direkte Identitaet.</w:t>
      </w:r>
      <w:r>
        <w:footnoteReference w:id="18"/>
      </w:r>
    </w:p>
    <w:p>
      <w:r>
        <w:rPr>
          <w:rFonts w:ascii="Arial" w:hAnsi="Arial"/>
        </w:rPr>
        <w:t>Fuer die Lesefassung bleibt daher die methodische Regel: Anunnaki werden als Vergleichs- und Einflussfrage behandelt, nicht als erklaerte Identitaet der biblischen Elohim. Das staerkt die wissenschaftliche Belastbarkeit der Untersuchung.</w:t>
      </w:r>
    </w:p>
    <w:p>
      <w:pPr>
        <w:pStyle w:val="Heading2"/>
      </w:pPr>
      <w:r>
        <w:t>10. Ergebnis und Kapitelstatus</w:t>
      </w:r>
    </w:p>
    <w:p>
      <w:r>
        <w:rPr>
          <w:rFonts w:ascii="Arial" w:hAnsi="Arial"/>
        </w:rPr>
        <w:t>Kapitel 2 liegt als druckreife Lesefassung V1 vor. Ergebnis: Dtn 32,8-9, Psalm 82 und 1 Koen 22 sind die zentralen biblischen Texte fuer die Annahme, dass hinter der spaeteren monotheistischen Endgestalt aeltere Vorstellungen eines goettlichen Rates, einer Voelkerordnung und eines himmlischen Hofstaats stehen. Sie belegen keine einfache Universalidentitaet aller Gottheiten, aber sie stuetzen stark das Entwicklungsmodell: westsemitischer goettlicher Rat -&gt; JHWH als Gott Israels -&gt; Identifikation mit El/Elyon -&gt; Unterordnung oder Umdeutung der uebrigen goettlichen Wesen.</w:t>
      </w:r>
    </w:p>
    <w:p>
      <w:pPr>
        <w:pStyle w:val="Heading2"/>
      </w:pPr>
      <w:r>
        <w:t>11. Druckreifepruefung Kapitel 2</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Dtn 32,8-9, Ps 82 und 1 Koen 22 werden als Rats-, Voelkerordnungs- und Hofstaatstexte ausgewertet.</w:t>
            </w:r>
          </w:p>
        </w:tc>
      </w:tr>
      <w:tr>
        <w:tc>
          <w:tcPr>
            <w:tcW w:type="dxa" w:w="2400"/>
            <w:vAlign w:val="top"/>
          </w:tcPr>
          <w:p>
            <w:r/>
            <w:r>
              <w:rPr>
                <w:rFonts w:ascii="Arial" w:hAnsi="Arial"/>
                <w:b w:val="0"/>
                <w:sz w:val="16"/>
              </w:rPr>
              <w:t>Textkritik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MT, 4QDeutj und LXX werden unterschieden; die aeltere Lesart wird als stark plausibel begruendet.</w:t>
            </w:r>
          </w:p>
        </w:tc>
      </w:tr>
      <w:tr>
        <w:tc>
          <w:tcPr>
            <w:tcW w:type="dxa" w:w="2400"/>
            <w:vAlign w:val="top"/>
          </w:tcPr>
          <w:p>
            <w:r/>
            <w:r>
              <w:rPr>
                <w:rFonts w:ascii="Arial" w:hAnsi="Arial"/>
                <w:b w:val="0"/>
                <w:sz w:val="16"/>
              </w:rPr>
              <w:t>Beleggrad gesetzt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JHWH als 'niedriger Gott' bleibt strittig/nicht direkt belegt; Rats- und Ordnungssprache ist plausibel.</w:t>
            </w:r>
          </w:p>
        </w:tc>
      </w:tr>
      <w:tr>
        <w:tc>
          <w:tcPr>
            <w:tcW w:type="dxa" w:w="2400"/>
            <w:vAlign w:val="top"/>
          </w:tcPr>
          <w:p>
            <w:r/>
            <w:r>
              <w:rPr>
                <w:rFonts w:ascii="Arial" w:hAnsi="Arial"/>
                <w:b w:val="0"/>
                <w:sz w:val="16"/>
              </w:rPr>
              <w:t>Abgrenzung vorhanden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Keine direkte Gleichung Elohim = Anunnaki; keine prae-astronautische Lesart.</w:t>
            </w:r>
          </w:p>
        </w:tc>
      </w:tr>
      <w:tr>
        <w:tc>
          <w:tcPr>
            <w:tcW w:type="dxa" w:w="2400"/>
            <w:vAlign w:val="top"/>
          </w:tcPr>
          <w:p>
            <w:r/>
            <w:r>
              <w:rPr>
                <w:rFonts w:ascii="Arial" w:hAnsi="Arial"/>
                <w:b w:val="0"/>
                <w:sz w:val="16"/>
              </w:rPr>
              <w:t>Hauptmodell gestuetzt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Goettlicher Rat -&gt; JHWH als Gott Israels -&gt; Identifikation mit El/Elyon -&gt; Unterordnung/Umdeutung.</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Arbeitsinterne Formulierungen wurden in neutrale Sachprosa ueberfuehrt.</w:t>
            </w:r>
          </w:p>
        </w:tc>
      </w:tr>
    </w:tbl>
    <w:p>
      <w:pPr>
        <w:pStyle w:val="Heading2"/>
      </w:pPr>
      <w:r>
        <w:t>12. Quellenbasis fuer Kapitel 2</w:t>
      </w:r>
    </w:p>
    <w:p>
      <w:pPr>
        <w:pStyle w:val="ListBullet"/>
      </w:pPr>
      <w:r>
        <w:rPr>
          <w:rFonts w:ascii="Arial" w:hAnsi="Arial"/>
        </w:rPr>
        <w:t>Emanuel Tov, 'The Sons of Israel or God? Deuteronomy 32:8', TheTorah.com, 2023; mit Varianten MT, 4QDeutj und LXX.</w:t>
      </w:r>
    </w:p>
    <w:p>
      <w:pPr>
        <w:pStyle w:val="ListBullet"/>
      </w:pPr>
      <w:r>
        <w:rPr>
          <w:rFonts w:ascii="Arial" w:hAnsi="Arial"/>
        </w:rPr>
        <w:t>Ronald Hendel / Biblical Archaeology Society, 'Deuteronomy 32:8', zur Qumran-Lesart 'Sons of God' gegen MT 'sons of Israel'.</w:t>
      </w:r>
    </w:p>
    <w:p>
      <w:pPr>
        <w:pStyle w:val="ListBullet"/>
      </w:pPr>
      <w:r>
        <w:rPr>
          <w:rFonts w:ascii="Arial" w:hAnsi="Arial"/>
        </w:rPr>
        <w:t>Jan Joosten, 'A Note on the Text of Deuteronomy xxxii 8', Vetus Testamentum 57/4, 2007, DOI 10.1163/156853307X204628.</w:t>
      </w:r>
    </w:p>
    <w:p>
      <w:pPr>
        <w:pStyle w:val="ListBullet"/>
      </w:pPr>
      <w:r>
        <w:rPr>
          <w:rFonts w:ascii="Arial" w:hAnsi="Arial"/>
        </w:rPr>
        <w:t>Mark S. Smith, The Origins of Biblical Monotheism: Israel's Polytheistic Background and the Ugaritic Texts, Oxford University Press, 2001.</w:t>
      </w:r>
    </w:p>
    <w:p>
      <w:pPr>
        <w:pStyle w:val="ListBullet"/>
      </w:pPr>
      <w:r>
        <w:rPr>
          <w:rFonts w:ascii="Arial" w:hAnsi="Arial"/>
        </w:rPr>
        <w:t>Shane M. Thompson, 'Local Manifestations of YHWH within El's Divine Council: Psalm 82 in the Context of Israelite Religion', Journal of Biblical Literature 143/2, 2024, DOI 10.15699/jbl.1432.2024.4.</w:t>
      </w:r>
    </w:p>
    <w:p>
      <w:pPr>
        <w:pStyle w:val="ListBullet"/>
      </w:pPr>
      <w:r>
        <w:rPr>
          <w:rFonts w:ascii="Arial" w:hAnsi="Arial"/>
        </w:rPr>
        <w:t>Casper Lindblad Andresen, 'In the Council of Gods: Ethical Accountability and Divine Legitimacy in Psalm 82', Scandinavian Journal of the Old Testament, 2026, DOI 10.1080/09018328.2026.2658516.</w:t>
      </w:r>
    </w:p>
    <w:p>
      <w:pPr>
        <w:pStyle w:val="ListBullet"/>
      </w:pPr>
      <w:r>
        <w:rPr>
          <w:rFonts w:ascii="Arial" w:hAnsi="Arial"/>
        </w:rPr>
        <w:t>Michael S. Heiser, 'You've Seen One Elohim, You've Seen Them All?', FARMS Review 19/1, 2007, als Diskussion zu Psalm 82 und goettlichem Rat.</w:t>
      </w:r>
    </w:p>
    <w:p>
      <w:pPr>
        <w:pStyle w:val="ListBullet"/>
      </w:pPr>
      <w:r>
        <w:rPr>
          <w:rFonts w:ascii="Arial" w:hAnsi="Arial"/>
        </w:rPr>
        <w:t>Daniel O. McClellan, 'Psalm 82 in Contemporary Latter-day Saint Tradition', Interpreter 15, 2015, zur Forschungsgeschichte der Psalm-82-Deutung.</w:t>
      </w:r>
    </w:p>
    <w:p>
      <w:pPr>
        <w:pStyle w:val="ListBullet"/>
      </w:pPr>
      <w:r>
        <w:rPr>
          <w:rFonts w:ascii="Arial" w:hAnsi="Arial"/>
        </w:rPr>
        <w:t>1 Koenige 22,19-23 als biblischer Kontrolltext zum himmlischen Hofstaat JHWHs; vgl. auch Hiob 1-2 als verwandte Ratsszene.</w:t>
      </w:r>
    </w:p>
    <w:p>
      <w:r>
        <w:br w:type="page"/>
      </w:r>
    </w:p>
    <w:p>
      <w:pPr>
        <w:pStyle w:val="Heading1"/>
      </w:pPr>
      <w:r>
        <w:t>Kapitel 3: Ugarit, El, Baal, Athirat/Aschera und die Soehne Els</w:t>
      </w:r>
    </w:p>
    <w:p>
      <w:r>
        <w:rPr>
          <w:rFonts w:ascii="Arial" w:hAnsi="Arial"/>
        </w:rPr>
        <w:t>Leitfrage: Was zeigen die ugaritischen Texte fuer das Modell eines westsemitischen goettlichen Rates, und wie weit darf dieser Befund auf fruehe israelitische Religion und JHWH uebertragen werden? Die Antwort lautet: Ugarit liefert nicht die direkte Vorgeschichte Israels im Sinn einer einfachen Kopie, aber den wichtigsten nahen Vergleichsrahmen. Die Texte aus Ras Schamra zeigen einen polytheistischen westsemitischen Religionsraum mit El/Ilu als hoher Vater- und Ratsfigur, Athirat als grosser Goettin und Mutter-/Ratsfigur, Baal/Hadad als dynamischem Wetter-, Kriegs- und Koenigsgott sowie mehreren Gruppen goettlicher Wesen. Genau dieses Strukturmodell erklaert, warum Dtn 32,8-9 und Psalm 82 im Alten Testament nicht isoliert wirken.</w:t>
      </w:r>
      <w:r>
        <w:footnoteReference w:id="19"/>
      </w:r>
    </w:p>
    <w:p>
      <w:pPr>
        <w:pStyle w:val="Heading2"/>
      </w:pPr>
      <w:r>
        <w:t>1. Ergebnis in Kurzform</w:t>
      </w:r>
    </w:p>
    <w:p>
      <w:pPr>
        <w:pStyle w:val="ListBullet"/>
      </w:pPr>
      <w:r>
        <w:rPr>
          <w:rFonts w:ascii="Arial" w:hAnsi="Arial"/>
        </w:rPr>
        <w:t>Ugarit belegt einen westsemitischen Pantheon mit goettlichem Rat, Familienstruktur, Hierarchie und konkurrierenden Funktionsbereichen.</w:t>
      </w:r>
    </w:p>
    <w:p>
      <w:pPr>
        <w:pStyle w:val="ListBullet"/>
      </w:pPr>
      <w:r>
        <w:rPr>
          <w:rFonts w:ascii="Arial" w:hAnsi="Arial"/>
        </w:rPr>
        <w:t>El/Ilu steht als alter Hochgott, Vaterfigur und Ratsautoritaet im Zentrum; seine Stellung wird im Baal-Zyklus nicht einfach von Baal aufgehoben.</w:t>
      </w:r>
    </w:p>
    <w:p>
      <w:pPr>
        <w:pStyle w:val="ListBullet"/>
      </w:pPr>
      <w:r>
        <w:rPr>
          <w:rFonts w:ascii="Arial" w:hAnsi="Arial"/>
        </w:rPr>
        <w:t>Athirat/Aschera ist in Ugarit keine Randfigur, sondern eine grosse Goettin, die mit El verbunden ist und als Mutter einer goettlichen Gruppe erscheint.</w:t>
      </w:r>
    </w:p>
    <w:p>
      <w:pPr>
        <w:pStyle w:val="ListBullet"/>
      </w:pPr>
      <w:r>
        <w:rPr>
          <w:rFonts w:ascii="Arial" w:hAnsi="Arial"/>
        </w:rPr>
        <w:t>Baal/Hadad ist nicht mit El identisch, sondern ein aktiver Wetter- und Herrschaftsgott, der um Palast, Anerkennung und kosmische Durchsetzung ringt.</w:t>
      </w:r>
    </w:p>
    <w:p>
      <w:pPr>
        <w:pStyle w:val="ListBullet"/>
      </w:pPr>
      <w:r>
        <w:rPr>
          <w:rFonts w:ascii="Arial" w:hAnsi="Arial"/>
        </w:rPr>
        <w:t>Die '70 Soehne Athirats' sind fuer das Entwicklungsmodell wichtig, aber nicht als sicherer Namenskatalog von genau 70 einzelnen Goettern zu behandeln. Wahrscheinlich handelt es sich um eine rhetorische oder symbolische Totalzahl fuer die goettliche Familie bzw. Ratswelt.</w:t>
      </w:r>
    </w:p>
    <w:p>
      <w:pPr>
        <w:pStyle w:val="ListBullet"/>
      </w:pPr>
      <w:r>
        <w:rPr>
          <w:rFonts w:ascii="Arial" w:hAnsi="Arial"/>
        </w:rPr>
        <w:t>Die ugaritischen Texte stuetzen die These einer aelteren goettlichen Mehrwesenheit hinter manchen biblischen Texten; sie beweisen aber keine direkte Gleichung JHWH = Baal = El oder eine Anunnaki-Identitaet.</w:t>
      </w:r>
    </w:p>
    <w:p>
      <w:pPr>
        <w:pStyle w:val="Heading2"/>
      </w:pPr>
      <w:r>
        <w:t>2. Warum Ugarit fuer die Bibelanalyse so wichtig ist</w:t>
      </w:r>
    </w:p>
    <w:p>
      <w:r>
        <w:rPr>
          <w:rFonts w:ascii="Arial" w:hAnsi="Arial"/>
        </w:rPr>
        <w:t>Die ugaritischen Texte stammen aus Ras Schamra/Ugarit in Nordsyrien und gehoeren in die spaete Bronzezeit. Sie sind aelter als die schriftliche Endgestalt der meisten biblischen Texte und stehen sprachlich, kulturell und religionsgeschichtlich im westsemitischen Raum. Darum sind sie kein beliebiger Parallelfund, sondern der wichtigste ausserbiblische Vergleich fuer El, Baal, Athirat/Aschera, goettlichen Rat und Goetterfamilie.</w:t>
      </w:r>
    </w:p>
    <w:p>
      <w:r>
        <w:rPr>
          <w:rFonts w:ascii="Arial" w:hAnsi="Arial"/>
        </w:rPr>
        <w:t>Methodisch ist aber eine Grenze entscheidend: Ugarit ist nicht Israel. Zwischen Ugarit und der fruehen israelitischen Religion liegen Zeit, Region, politische Geschichte und unterschiedliche Kultzentren. Ugarit darf daher nicht so gelesen werden, als wuerde es die Bibel direkt erklaeren. Es zeigt vielmehr, welche Vorstellungswelt im westsemitischen Raum vorhanden war und warum biblische Reste eines goettlichen Rates historisch plausibel sind.</w:t>
      </w:r>
      <w:r>
        <w:footnoteReference w:id="20"/>
      </w:r>
    </w:p>
    <w:p>
      <w:pPr>
        <w:pStyle w:val="Heading2"/>
      </w:pPr>
      <w:r>
        <w:t>3. El/Ilu: Hochgott, Vaterfigur und Ratsautoritaet</w:t>
      </w:r>
    </w:p>
    <w:p>
      <w:r>
        <w:rPr>
          <w:rFonts w:ascii="Arial" w:hAnsi="Arial"/>
        </w:rPr>
        <w:t>El, in den ugaritischen Texten meist Ilu, ist die zentrale Hochgottgestalt. Er erscheint als aeltere, weise, autoritative Vater- und Koenigsfigur. Seine Rolle ist weniger die unmittelbare stuermerische Aktion als die letzte Legitimation, Entscheidung und Ordnung. Das ist fuer die Hauptthese besonders wichtig: Die spaetere biblische Darstellung JHWHs als Schoepfer, Vater, Koenig, Richter und Hoechster passt auffaellig gut zu Funktionen, die im westsemitischen Umfeld mit El verbunden sind.</w:t>
      </w:r>
      <w:r>
        <w:footnoteReference w:id="21"/>
      </w:r>
    </w:p>
    <w:p>
      <w:r>
        <w:rPr>
          <w:rFonts w:ascii="Arial" w:hAnsi="Arial"/>
        </w:rPr>
        <w:t>Mark S. Smith behandelt in The Origins of Biblical Monotheism die 'structures of divinity' in Ugarit, darunter goettlichen Rat und goettliche Familie, und setzt diese Strukturen in Beziehung zur Entstehung israelitischen Monotheismus. Fuer das Entwicklungsmodell bedeutet das: Der plausibelste Hauptbezugspunkt fuer JHWHs spaetere Hochgottrolle ist El, nicht Marduk, Enki, Enlil oder die Anunnaki.</w:t>
      </w:r>
    </w:p>
    <w:p>
      <w:pPr>
        <w:pStyle w:val="Heading2"/>
      </w:pPr>
      <w:r>
        <w:t>4. Athirat/Aschera: Goettin, Mutterfigur und Vermittlerin</w:t>
      </w:r>
    </w:p>
    <w:p>
      <w:r>
        <w:rPr>
          <w:rFonts w:ascii="Arial" w:hAnsi="Arial"/>
        </w:rPr>
        <w:t>Athirat ist im Ugarit-Material eine grosse Goettin. Sie steht in Beziehung zu El und erscheint in der Forschung haeufig als Muttergestalt der goettlichen Familie. Im Baal-Zyklus tritt sie nicht nur dekorativ auf, sondern in einer vermittelnden Rolle: Baal und Anat suchen ihre Unterstuetzung, damit Baal einen Palast erhalten kann. Athirat bewegt sich damit an der Schnittstelle von Goetterfamilie, Legitimation und Herrschaftsordnung.</w:t>
      </w:r>
      <w:r>
        <w:footnoteReference w:id="22"/>
      </w:r>
    </w:p>
    <w:p>
      <w:r>
        <w:rPr>
          <w:rFonts w:ascii="Arial" w:hAnsi="Arial"/>
        </w:rPr>
        <w:t>Wichtig fuer die Lesefassung ist diese Grenze: Die ugaritische Athirat ist nicht automatisch identisch mit jeder biblischen Aschera-Erwaehnung. Im Alten Testament kann Aschera als Goettin, Kultsymbol oder polemisch markierter Kultgegenstand erscheinen. Genau deshalb bleibt Kuntillet Ajrud/Khirbet el-Qom ein eigenes Streitdossier. Kapitel 3 klaert nur den westsemitischen Hintergrund: Eine bedeutende Goettin an der Seite oder im Umfeld Els ist im Ugarit-Material klar bezeugt.</w:t>
      </w:r>
    </w:p>
    <w:p>
      <w:pPr>
        <w:pStyle w:val="Heading2"/>
      </w:pPr>
      <w:r>
        <w:t>5. Baal/Hadad: Wetter-, Kriegs- und Herrschaftsgott</w:t>
      </w:r>
    </w:p>
    <w:p>
      <w:r>
        <w:rPr>
          <w:rFonts w:ascii="Arial" w:hAnsi="Arial"/>
        </w:rPr>
        <w:t>Baal bedeutet zunaechst 'Herr' und kann als Titel gebraucht werden. Im Ugarit-Kontext ist mit Baal in der Regel Baal/Hadad gemeint, der Wetter-, Sturm-, Fruchtbarkeits-, Kriegs- und Herrschaftsgott. Der Baal-Zyklus zeigt ihn als dynamische Gottheit, die gegen Yam/Meer und Mot/Tod steht und um einen Palast als Zeichen anerkannter Herrschaft ringt.</w:t>
      </w:r>
      <w:r>
        <w:footnoteReference w:id="23"/>
      </w:r>
    </w:p>
    <w:p>
      <w:r>
        <w:rPr>
          <w:rFonts w:ascii="Arial" w:hAnsi="Arial"/>
        </w:rPr>
        <w:t>Das hilft, JHWHs spaetere Bildwelt zu erklaeren: Wolkenfahrt, Donner, Regen, Krieg, Chaoskampf und Sieg ueber Meer oder Drachenwesen sind Motive, die in der Umwelt stark mit Wetter- und Kampfgoettern verbunden sind. Wenn solche Motive spaeter auf JHWH uebergehen, beweist das keine einfache Identitaet JHWH = Baal. Es zeigt aber eine Funktionsuebernahme und theologische Konkurrenz: JHWH wird mit Bildern ausgestattet, die im kanaanaeischen Raum hoechste Wirksamkeit, Wetterkontrolle und koenigliche Macht ausdruecken.</w:t>
      </w:r>
    </w:p>
    <w:p>
      <w:pPr>
        <w:pStyle w:val="Heading2"/>
      </w:pPr>
      <w:r>
        <w:t>6. Die '70 Soehne Athirats' und die Soehne Els</w:t>
      </w:r>
    </w:p>
    <w:p>
      <w:r>
        <w:rPr>
          <w:rFonts w:ascii="Arial" w:hAnsi="Arial"/>
        </w:rPr>
        <w:t>Der fuer die Untersuchung wichtigste Baustein ist die goettliche Gruppe. Im Baal-Zyklus werden die '70 Soehne Athirats' genannt. Intertextual.Bible verbindet diese Stelle mit Dtn 32,8, weil dort die Verteilung der Nationen nach der Zahl goettlicher Wesen in einer aelteren Lesart sichtbar wird. Nicholas Wyatt deutet die Zahl 70 vorsichtig als rhetorische Totalzahl: Sie steht eher fuer Vollstaendigkeit einer goettlichen Familie oder Ratswelt als fuer eine erhaltene Liste von genau 70 namentlich bekannten Gottheiten.</w:t>
      </w:r>
      <w:r>
        <w:footnoteReference w:id="24"/>
      </w:r>
    </w:p>
    <w:p>
      <w:r>
        <w:rPr>
          <w:rFonts w:ascii="Arial" w:hAnsi="Arial"/>
        </w:rPr>
        <w:t>Aicha Rahmounis neuere Studie The Gods of Mount Sapanu ist fuer diese Vorsicht besonders nuetzlich. Sie zeigt, dass Ugarit nicht nur einzelne grosse Gottheiten kennt, sondern zahlreiche Gruppenbezeichnungen fuer Goetter, Goettinnen und goettliche Wesen. Die Gruppen sind religioes wichtig, auch wenn sie nicht immer als vollstaendige Namenslisten erhalten sind. Genau diese Struktur passt besser zu Psalm 82 und Dtn 32 als die Erwartung, wir muessten eine vollstaendige Liste aller Elohim besitzen.</w:t>
      </w:r>
      <w:r>
        <w:footnoteReference w:id="25"/>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Ugaritischer Befund</w:t>
            </w:r>
          </w:p>
        </w:tc>
        <w:tc>
          <w:tcPr>
            <w:tcW w:type="dxa" w:w="2500"/>
            <w:vAlign w:val="top"/>
            <w:shd w:fill="F1F3F4"/>
          </w:tcPr>
          <w:p>
            <w:r/>
            <w:r>
              <w:rPr>
                <w:rFonts w:ascii="Arial" w:hAnsi="Arial"/>
                <w:b/>
                <w:sz w:val="16"/>
              </w:rPr>
              <w:t>Funktion</w:t>
            </w:r>
          </w:p>
        </w:tc>
        <w:tc>
          <w:tcPr>
            <w:tcW w:type="dxa" w:w="3200"/>
            <w:vAlign w:val="top"/>
            <w:shd w:fill="F1F3F4"/>
          </w:tcPr>
          <w:p>
            <w:r/>
            <w:r>
              <w:rPr>
                <w:rFonts w:ascii="Arial" w:hAnsi="Arial"/>
                <w:b/>
                <w:sz w:val="16"/>
              </w:rPr>
              <w:t>Bedeutung fuer JHWH/Bibel</w:t>
            </w:r>
          </w:p>
        </w:tc>
        <w:tc>
          <w:tcPr>
            <w:tcW w:type="dxa" w:w="1500"/>
            <w:vAlign w:val="top"/>
            <w:shd w:fill="F1F3F4"/>
          </w:tcPr>
          <w:p>
            <w:r/>
            <w:r>
              <w:rPr>
                <w:rFonts w:ascii="Arial" w:hAnsi="Arial"/>
                <w:b/>
                <w:sz w:val="16"/>
              </w:rPr>
              <w:t>Status</w:t>
            </w:r>
          </w:p>
        </w:tc>
      </w:tr>
      <w:tr>
        <w:tc>
          <w:tcPr>
            <w:tcW w:type="dxa" w:w="1800"/>
            <w:vAlign w:val="top"/>
          </w:tcPr>
          <w:p>
            <w:r/>
            <w:r>
              <w:rPr>
                <w:rFonts w:ascii="Arial" w:hAnsi="Arial"/>
                <w:b w:val="0"/>
                <w:sz w:val="16"/>
              </w:rPr>
              <w:t>El/Ilu</w:t>
            </w:r>
          </w:p>
        </w:tc>
        <w:tc>
          <w:tcPr>
            <w:tcW w:type="dxa" w:w="2500"/>
            <w:vAlign w:val="top"/>
          </w:tcPr>
          <w:p>
            <w:r/>
            <w:r>
              <w:rPr>
                <w:rFonts w:ascii="Arial" w:hAnsi="Arial"/>
                <w:b w:val="0"/>
                <w:sz w:val="16"/>
              </w:rPr>
              <w:t>Hochgott, Vater, Ratsautoritaet</w:t>
            </w:r>
          </w:p>
        </w:tc>
        <w:tc>
          <w:tcPr>
            <w:tcW w:type="dxa" w:w="3200"/>
            <w:vAlign w:val="top"/>
          </w:tcPr>
          <w:p>
            <w:r/>
            <w:r>
              <w:rPr>
                <w:rFonts w:ascii="Arial" w:hAnsi="Arial"/>
                <w:b w:val="0"/>
                <w:sz w:val="16"/>
              </w:rPr>
              <w:t>El-Titel und Funktionen werden spaeter auf JHWH konzentriert.</w:t>
            </w:r>
          </w:p>
        </w:tc>
        <w:tc>
          <w:tcPr>
            <w:tcW w:type="dxa" w:w="1500"/>
            <w:vAlign w:val="top"/>
          </w:tcPr>
          <w:p>
            <w:r/>
            <w:r>
              <w:rPr>
                <w:rFonts w:ascii="Arial" w:hAnsi="Arial"/>
                <w:b w:val="0"/>
                <w:sz w:val="16"/>
              </w:rPr>
              <w:t>Stark plausibel.</w:t>
            </w:r>
          </w:p>
        </w:tc>
      </w:tr>
      <w:tr>
        <w:tc>
          <w:tcPr>
            <w:tcW w:type="dxa" w:w="1800"/>
            <w:vAlign w:val="top"/>
          </w:tcPr>
          <w:p>
            <w:r/>
            <w:r>
              <w:rPr>
                <w:rFonts w:ascii="Arial" w:hAnsi="Arial"/>
                <w:b w:val="0"/>
                <w:sz w:val="16"/>
              </w:rPr>
              <w:t>Athirat/Aschera</w:t>
            </w:r>
          </w:p>
        </w:tc>
        <w:tc>
          <w:tcPr>
            <w:tcW w:type="dxa" w:w="2500"/>
            <w:vAlign w:val="top"/>
          </w:tcPr>
          <w:p>
            <w:r/>
            <w:r>
              <w:rPr>
                <w:rFonts w:ascii="Arial" w:hAnsi="Arial"/>
                <w:b w:val="0"/>
                <w:sz w:val="16"/>
              </w:rPr>
              <w:t>Goettin, Mutterbezug, Vermittlung</w:t>
            </w:r>
          </w:p>
        </w:tc>
        <w:tc>
          <w:tcPr>
            <w:tcW w:type="dxa" w:w="3200"/>
            <w:vAlign w:val="top"/>
          </w:tcPr>
          <w:p>
            <w:r/>
            <w:r>
              <w:rPr>
                <w:rFonts w:ascii="Arial" w:hAnsi="Arial"/>
                <w:b w:val="0"/>
                <w:sz w:val="16"/>
              </w:rPr>
              <w:t>Plausibilisiert weibliche Kult- und Goettinnenrollen im JHWH-Umfeld.</w:t>
            </w:r>
          </w:p>
        </w:tc>
        <w:tc>
          <w:tcPr>
            <w:tcW w:type="dxa" w:w="1500"/>
            <w:vAlign w:val="top"/>
          </w:tcPr>
          <w:p>
            <w:r/>
            <w:r>
              <w:rPr>
                <w:rFonts w:ascii="Arial" w:hAnsi="Arial"/>
                <w:b w:val="0"/>
                <w:sz w:val="16"/>
              </w:rPr>
              <w:t>Ugarit belegt; Israel separat.</w:t>
            </w:r>
          </w:p>
        </w:tc>
      </w:tr>
      <w:tr>
        <w:tc>
          <w:tcPr>
            <w:tcW w:type="dxa" w:w="1800"/>
            <w:vAlign w:val="top"/>
          </w:tcPr>
          <w:p>
            <w:r/>
            <w:r>
              <w:rPr>
                <w:rFonts w:ascii="Arial" w:hAnsi="Arial"/>
                <w:b w:val="0"/>
                <w:sz w:val="16"/>
              </w:rPr>
              <w:t>Baal/Hadad</w:t>
            </w:r>
          </w:p>
        </w:tc>
        <w:tc>
          <w:tcPr>
            <w:tcW w:type="dxa" w:w="2500"/>
            <w:vAlign w:val="top"/>
          </w:tcPr>
          <w:p>
            <w:r/>
            <w:r>
              <w:rPr>
                <w:rFonts w:ascii="Arial" w:hAnsi="Arial"/>
                <w:b w:val="0"/>
                <w:sz w:val="16"/>
              </w:rPr>
              <w:t>Wetter, Krieg, Palast, Herrschaft</w:t>
            </w:r>
          </w:p>
        </w:tc>
        <w:tc>
          <w:tcPr>
            <w:tcW w:type="dxa" w:w="3200"/>
            <w:vAlign w:val="top"/>
          </w:tcPr>
          <w:p>
            <w:r/>
            <w:r>
              <w:rPr>
                <w:rFonts w:ascii="Arial" w:hAnsi="Arial"/>
                <w:b w:val="0"/>
                <w:sz w:val="16"/>
              </w:rPr>
              <w:t>JHWH uebernimmt Wetter-, Kriegs- und Chaoskampfmotive.</w:t>
            </w:r>
          </w:p>
        </w:tc>
        <w:tc>
          <w:tcPr>
            <w:tcW w:type="dxa" w:w="1500"/>
            <w:vAlign w:val="top"/>
          </w:tcPr>
          <w:p>
            <w:r/>
            <w:r>
              <w:rPr>
                <w:rFonts w:ascii="Arial" w:hAnsi="Arial"/>
                <w:b w:val="0"/>
                <w:sz w:val="16"/>
              </w:rPr>
              <w:t>Funktionsuebernahme plausibel.</w:t>
            </w:r>
          </w:p>
        </w:tc>
      </w:tr>
      <w:tr>
        <w:tc>
          <w:tcPr>
            <w:tcW w:type="dxa" w:w="1800"/>
            <w:vAlign w:val="top"/>
          </w:tcPr>
          <w:p>
            <w:r/>
            <w:r>
              <w:rPr>
                <w:rFonts w:ascii="Arial" w:hAnsi="Arial"/>
                <w:b w:val="0"/>
                <w:sz w:val="16"/>
              </w:rPr>
              <w:t>70 Soehne Athirats</w:t>
            </w:r>
          </w:p>
        </w:tc>
        <w:tc>
          <w:tcPr>
            <w:tcW w:type="dxa" w:w="2500"/>
            <w:vAlign w:val="top"/>
          </w:tcPr>
          <w:p>
            <w:r/>
            <w:r>
              <w:rPr>
                <w:rFonts w:ascii="Arial" w:hAnsi="Arial"/>
                <w:b w:val="0"/>
                <w:sz w:val="16"/>
              </w:rPr>
              <w:t>Goettliche Familie/Ratsgruppe</w:t>
            </w:r>
          </w:p>
        </w:tc>
        <w:tc>
          <w:tcPr>
            <w:tcW w:type="dxa" w:w="3200"/>
            <w:vAlign w:val="top"/>
          </w:tcPr>
          <w:p>
            <w:r/>
            <w:r>
              <w:rPr>
                <w:rFonts w:ascii="Arial" w:hAnsi="Arial"/>
                <w:b w:val="0"/>
                <w:sz w:val="16"/>
              </w:rPr>
              <w:t>Vergleichsrahmen fuer Dtn 32 und Psalm 82.</w:t>
            </w:r>
          </w:p>
        </w:tc>
        <w:tc>
          <w:tcPr>
            <w:tcW w:type="dxa" w:w="1500"/>
            <w:vAlign w:val="top"/>
          </w:tcPr>
          <w:p>
            <w:r/>
            <w:r>
              <w:rPr>
                <w:rFonts w:ascii="Arial" w:hAnsi="Arial"/>
                <w:b w:val="0"/>
                <w:sz w:val="16"/>
              </w:rPr>
              <w:t>Struktur stark; Namensliste strittig.</w:t>
            </w:r>
          </w:p>
        </w:tc>
      </w:tr>
      <w:tr>
        <w:tc>
          <w:tcPr>
            <w:tcW w:type="dxa" w:w="1800"/>
            <w:vAlign w:val="top"/>
          </w:tcPr>
          <w:p>
            <w:r/>
            <w:r>
              <w:rPr>
                <w:rFonts w:ascii="Arial" w:hAnsi="Arial"/>
                <w:b w:val="0"/>
                <w:sz w:val="16"/>
              </w:rPr>
              <w:t>Soehne Els / goettliche Gruppen</w:t>
            </w:r>
          </w:p>
        </w:tc>
        <w:tc>
          <w:tcPr>
            <w:tcW w:type="dxa" w:w="2500"/>
            <w:vAlign w:val="top"/>
          </w:tcPr>
          <w:p>
            <w:r/>
            <w:r>
              <w:rPr>
                <w:rFonts w:ascii="Arial" w:hAnsi="Arial"/>
                <w:b w:val="0"/>
                <w:sz w:val="16"/>
              </w:rPr>
              <w:t>Rats- und Hierarchievorstellung</w:t>
            </w:r>
          </w:p>
        </w:tc>
        <w:tc>
          <w:tcPr>
            <w:tcW w:type="dxa" w:w="3200"/>
            <w:vAlign w:val="top"/>
          </w:tcPr>
          <w:p>
            <w:r/>
            <w:r>
              <w:rPr>
                <w:rFonts w:ascii="Arial" w:hAnsi="Arial"/>
                <w:b w:val="0"/>
                <w:sz w:val="16"/>
              </w:rPr>
              <w:t>Erklaert die aeltere Lesart 'Soehne Gottes/Els' in Dtn 32.</w:t>
            </w:r>
          </w:p>
        </w:tc>
        <w:tc>
          <w:tcPr>
            <w:tcW w:type="dxa" w:w="1500"/>
            <w:vAlign w:val="top"/>
          </w:tcPr>
          <w:p>
            <w:r/>
            <w:r>
              <w:rPr>
                <w:rFonts w:ascii="Arial" w:hAnsi="Arial"/>
                <w:b w:val="0"/>
                <w:sz w:val="16"/>
              </w:rPr>
              <w:t>Methodisch zentral.</w:t>
            </w:r>
          </w:p>
        </w:tc>
      </w:tr>
    </w:tbl>
    <w:p>
      <w:pPr>
        <w:pStyle w:val="Heading2"/>
      </w:pPr>
      <w:r>
        <w:t>7. Was Ugarit beweist und was nicht</w:t>
      </w:r>
    </w:p>
    <w:p>
      <w:r>
        <w:rPr>
          <w:rFonts w:ascii="Arial" w:hAnsi="Arial"/>
        </w:rPr>
        <w:t>Fuer die Lesefassung ist eine strenge Trennung noetig. Ugarit beweist einen westsemitischen polytheistischen Religionsraum mit El, Athirat, Baal und goettlichen Gruppen. Ugarit beweist auch, dass Rats-, Familien- und Herrschaftsvorstellungen in dieser Welt normal waren. Ugarit beweist aber nicht, dass Israel diese Texte direkt uebernommen hat, und auch nicht, dass jede biblische Stelle automatisch aus Ugarit stammt.</w:t>
      </w:r>
    </w:p>
    <w:p>
      <w:r>
        <w:rPr>
          <w:rFonts w:ascii="Arial" w:hAnsi="Arial"/>
        </w:rPr>
        <w:t>Gerade diese Grenze macht Ugarit wissenschaftlich wertvoll. Der Vergleich funktioniert nicht als Kopiernachweis, sondern als Plausibilitaetsrahmen: Wenn Dtn 32 von goettlichen Soehnen und Psalm 82 von einer Versammlung der Elohim spricht, wirken diese Texte im westsemitischen Umfeld nicht fremd, sondern erwartbar. Ugarit erklaert also die Denkwelt, nicht jede einzelne redaktionelle Entscheidung der Bibel.</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Aussage</w:t>
            </w:r>
          </w:p>
        </w:tc>
        <w:tc>
          <w:tcPr>
            <w:tcW w:type="dxa" w:w="2500"/>
            <w:vAlign w:val="top"/>
            <w:shd w:fill="F1F3F4"/>
          </w:tcPr>
          <w:p>
            <w:r/>
            <w:r>
              <w:rPr>
                <w:rFonts w:ascii="Arial" w:hAnsi="Arial"/>
                <w:b/>
                <w:sz w:val="16"/>
              </w:rPr>
              <w:t>Beleggrad</w:t>
            </w:r>
          </w:p>
        </w:tc>
        <w:tc>
          <w:tcPr>
            <w:tcW w:type="dxa" w:w="3200"/>
            <w:vAlign w:val="top"/>
            <w:shd w:fill="F1F3F4"/>
          </w:tcPr>
          <w:p>
            <w:r/>
            <w:r>
              <w:rPr>
                <w:rFonts w:ascii="Arial" w:hAnsi="Arial"/>
                <w:b/>
                <w:sz w:val="16"/>
              </w:rPr>
              <w:t>Begruendung</w:t>
            </w:r>
          </w:p>
        </w:tc>
        <w:tc>
          <w:tcPr>
            <w:tcW w:type="dxa" w:w="1500"/>
            <w:vAlign w:val="top"/>
            <w:shd w:fill="F1F3F4"/>
          </w:tcPr>
          <w:p>
            <w:r/>
            <w:r>
              <w:rPr>
                <w:rFonts w:ascii="Arial" w:hAnsi="Arial"/>
                <w:b/>
                <w:sz w:val="16"/>
              </w:rPr>
              <w:t>Folgerung</w:t>
            </w:r>
          </w:p>
        </w:tc>
      </w:tr>
      <w:tr>
        <w:tc>
          <w:tcPr>
            <w:tcW w:type="dxa" w:w="1800"/>
            <w:vAlign w:val="top"/>
          </w:tcPr>
          <w:p>
            <w:r/>
            <w:r>
              <w:rPr>
                <w:rFonts w:ascii="Arial" w:hAnsi="Arial"/>
                <w:b w:val="0"/>
                <w:sz w:val="16"/>
              </w:rPr>
              <w:t>Goettlicher Rat im westsemitischen Raum</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Ugaritische Texte kennen Goetterfamilie, Rats- und Herrschaftsstrukturen.</w:t>
            </w:r>
          </w:p>
        </w:tc>
        <w:tc>
          <w:tcPr>
            <w:tcW w:type="dxa" w:w="1500"/>
            <w:vAlign w:val="top"/>
          </w:tcPr>
          <w:p>
            <w:r/>
            <w:r>
              <w:rPr>
                <w:rFonts w:ascii="Arial" w:hAnsi="Arial"/>
                <w:b w:val="0"/>
                <w:sz w:val="16"/>
              </w:rPr>
              <w:t>Als Vergleichsrahmen sicher nutzbar.</w:t>
            </w:r>
          </w:p>
        </w:tc>
      </w:tr>
      <w:tr>
        <w:tc>
          <w:tcPr>
            <w:tcW w:type="dxa" w:w="1800"/>
            <w:vAlign w:val="top"/>
          </w:tcPr>
          <w:p>
            <w:r/>
            <w:r>
              <w:rPr>
                <w:rFonts w:ascii="Arial" w:hAnsi="Arial"/>
                <w:b w:val="0"/>
                <w:sz w:val="16"/>
              </w:rPr>
              <w:t>El als Hochgott und Vaterfigur</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El/Ilu fungiert als autoritative Vater- und Ratsgestalt.</w:t>
            </w:r>
          </w:p>
        </w:tc>
        <w:tc>
          <w:tcPr>
            <w:tcW w:type="dxa" w:w="1500"/>
            <w:vAlign w:val="top"/>
          </w:tcPr>
          <w:p>
            <w:r/>
            <w:r>
              <w:rPr>
                <w:rFonts w:ascii="Arial" w:hAnsi="Arial"/>
                <w:b w:val="0"/>
                <w:sz w:val="16"/>
              </w:rPr>
              <w:t>Staerkt El als Hauptbezugspunkt fuer JHWHs spaetere Hochgottrolle.</w:t>
            </w:r>
          </w:p>
        </w:tc>
      </w:tr>
      <w:tr>
        <w:tc>
          <w:tcPr>
            <w:tcW w:type="dxa" w:w="1800"/>
            <w:vAlign w:val="top"/>
          </w:tcPr>
          <w:p>
            <w:r/>
            <w:r>
              <w:rPr>
                <w:rFonts w:ascii="Arial" w:hAnsi="Arial"/>
                <w:b w:val="0"/>
                <w:sz w:val="16"/>
              </w:rPr>
              <w:t>Athirat/Aschera als bedeutende Goettin</w:t>
            </w:r>
          </w:p>
        </w:tc>
        <w:tc>
          <w:tcPr>
            <w:tcW w:type="dxa" w:w="2500"/>
            <w:vAlign w:val="top"/>
          </w:tcPr>
          <w:p>
            <w:r/>
            <w:r>
              <w:rPr>
                <w:rFonts w:ascii="Arial" w:hAnsi="Arial"/>
                <w:b w:val="0"/>
                <w:sz w:val="16"/>
              </w:rPr>
              <w:t>Belegt fuer Ugarit</w:t>
            </w:r>
          </w:p>
        </w:tc>
        <w:tc>
          <w:tcPr>
            <w:tcW w:type="dxa" w:w="3200"/>
            <w:vAlign w:val="top"/>
          </w:tcPr>
          <w:p>
            <w:r/>
            <w:r>
              <w:rPr>
                <w:rFonts w:ascii="Arial" w:hAnsi="Arial"/>
                <w:b w:val="0"/>
                <w:sz w:val="16"/>
              </w:rPr>
              <w:t>Athirat steht im Umfeld Els und ist mit der goettlichen Familie verbunden.</w:t>
            </w:r>
          </w:p>
        </w:tc>
        <w:tc>
          <w:tcPr>
            <w:tcW w:type="dxa" w:w="1500"/>
            <w:vAlign w:val="top"/>
          </w:tcPr>
          <w:p>
            <w:r/>
            <w:r>
              <w:rPr>
                <w:rFonts w:ascii="Arial" w:hAnsi="Arial"/>
                <w:b w:val="0"/>
                <w:sz w:val="16"/>
              </w:rPr>
              <w:t>Israel/Juda separat ueber Inschriften und Bibelpolemik pruefen.</w:t>
            </w:r>
          </w:p>
        </w:tc>
      </w:tr>
      <w:tr>
        <w:tc>
          <w:tcPr>
            <w:tcW w:type="dxa" w:w="1800"/>
            <w:vAlign w:val="top"/>
          </w:tcPr>
          <w:p>
            <w:r/>
            <w:r>
              <w:rPr>
                <w:rFonts w:ascii="Arial" w:hAnsi="Arial"/>
                <w:b w:val="0"/>
                <w:sz w:val="16"/>
              </w:rPr>
              <w:t>Baal/Hadad als Wetter- und Herrschaftsgott</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Baal-Zyklus zeigt Konflikte mit Yam/Mot und den Palast als Herrschaftszeichen.</w:t>
            </w:r>
          </w:p>
        </w:tc>
        <w:tc>
          <w:tcPr>
            <w:tcW w:type="dxa" w:w="1500"/>
            <w:vAlign w:val="top"/>
          </w:tcPr>
          <w:p>
            <w:r/>
            <w:r>
              <w:rPr>
                <w:rFonts w:ascii="Arial" w:hAnsi="Arial"/>
                <w:b w:val="0"/>
                <w:sz w:val="16"/>
              </w:rPr>
              <w:t>Erklaert spaetere JHWH-Wetter- und Chaoskampfmotive.</w:t>
            </w:r>
          </w:p>
        </w:tc>
      </w:tr>
      <w:tr>
        <w:tc>
          <w:tcPr>
            <w:tcW w:type="dxa" w:w="1800"/>
            <w:vAlign w:val="top"/>
          </w:tcPr>
          <w:p>
            <w:r/>
            <w:r>
              <w:rPr>
                <w:rFonts w:ascii="Arial" w:hAnsi="Arial"/>
                <w:b w:val="0"/>
                <w:sz w:val="16"/>
              </w:rPr>
              <w:t>JHWH ist identisch mit Baal</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Ugarit unterscheidet El, Baal und Athirat als verschiedene Rollen.</w:t>
            </w:r>
          </w:p>
        </w:tc>
        <w:tc>
          <w:tcPr>
            <w:tcW w:type="dxa" w:w="1500"/>
            <w:vAlign w:val="top"/>
          </w:tcPr>
          <w:p>
            <w:r/>
            <w:r>
              <w:rPr>
                <w:rFonts w:ascii="Arial" w:hAnsi="Arial"/>
                <w:b w:val="0"/>
                <w:sz w:val="16"/>
              </w:rPr>
              <w:t>Nur Funktionsuebernahme/Konkurrenz formulieren.</w:t>
            </w:r>
          </w:p>
        </w:tc>
      </w:tr>
      <w:tr>
        <w:tc>
          <w:tcPr>
            <w:tcW w:type="dxa" w:w="1800"/>
            <w:vAlign w:val="top"/>
          </w:tcPr>
          <w:p>
            <w:r/>
            <w:r>
              <w:rPr>
                <w:rFonts w:ascii="Arial" w:hAnsi="Arial"/>
                <w:b w:val="0"/>
                <w:sz w:val="16"/>
              </w:rPr>
              <w:t>Ugarit liefert die Namen aller biblischen Elohim</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Die Gruppen sind nicht als vollstaendige Namensliste erhalten.</w:t>
            </w:r>
          </w:p>
        </w:tc>
        <w:tc>
          <w:tcPr>
            <w:tcW w:type="dxa" w:w="1500"/>
            <w:vAlign w:val="top"/>
          </w:tcPr>
          <w:p>
            <w:r/>
            <w:r>
              <w:rPr>
                <w:rFonts w:ascii="Arial" w:hAnsi="Arial"/>
                <w:b w:val="0"/>
                <w:sz w:val="16"/>
              </w:rPr>
              <w:t>Keine kuenstliche Elohim-Liste erzeugen.</w:t>
            </w:r>
          </w:p>
        </w:tc>
      </w:tr>
      <w:tr>
        <w:tc>
          <w:tcPr>
            <w:tcW w:type="dxa" w:w="1800"/>
            <w:vAlign w:val="top"/>
          </w:tcPr>
          <w:p>
            <w:r/>
            <w:r>
              <w:rPr>
                <w:rFonts w:ascii="Arial" w:hAnsi="Arial"/>
                <w:b w:val="0"/>
                <w:sz w:val="16"/>
              </w:rPr>
              <w:t>Ugarit und Dtn 32/Ps 82 gehoeren in denselben Motivraum</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Soehne Els/Gottes, goettlicher Rat, Voelkerordnung und Gericht passen strukturell zusammen.</w:t>
            </w:r>
          </w:p>
        </w:tc>
        <w:tc>
          <w:tcPr>
            <w:tcW w:type="dxa" w:w="1500"/>
            <w:vAlign w:val="top"/>
          </w:tcPr>
          <w:p>
            <w:r/>
            <w:r>
              <w:rPr>
                <w:rFonts w:ascii="Arial" w:hAnsi="Arial"/>
                <w:b w:val="0"/>
                <w:sz w:val="16"/>
              </w:rPr>
              <w:t>Als tragenden Vergleich fuer Kapitel 2 verwenden.</w:t>
            </w:r>
          </w:p>
        </w:tc>
      </w:tr>
    </w:tbl>
    <w:p>
      <w:pPr>
        <w:pStyle w:val="Heading2"/>
      </w:pPr>
      <w:r>
        <w:t>8. Konsequenzen fuer die These 'gleicher Gott unter verschiedenen Namen'</w:t>
      </w:r>
    </w:p>
    <w:p>
      <w:r>
        <w:rPr>
          <w:rFonts w:ascii="Arial" w:hAnsi="Arial"/>
        </w:rPr>
        <w:t>Ugarit staerkt die Grundbeobachtung, dass Gottheiten Funktionen, Titel und Bilder voneinander aufnehmen koennen. Es ist deshalb sachlich sinnvoll, von Namens-, Titel- und Funktionsverschiebungen zu sprechen. JHWH kann El-Titel uebernehmen, Baal-Motive absorbieren und Aschera-Traditionen polemisch verdraengen oder umdeuten. Genau darin liegt ein starker religionsgeschichtlicher Prozess.</w:t>
      </w:r>
    </w:p>
    <w:p>
      <w:r>
        <w:rPr>
          <w:rFonts w:ascii="Arial" w:hAnsi="Arial"/>
        </w:rPr>
        <w:t>Ugarit schwaecht aber die harte Identitaetsthese. El, Baal und Athirat erscheinen in den ugaritischen Texten als unterscheidbare Figuren mit unterschiedlichen Rollen. Baal ringt um Herrschaft; El bleibt hoehere Autoritaet; Athirat wirkt als grosse Goettin und Vermittlerin. Wenn die Texte sie unterscheiden, muss die Ausarbeitung diese Unterscheidung respektieren. Die bessere wissenschaftliche Formulierung lautet daher nicht: 'Alle sind derselbe Gott', sondern: 'JHWHs spaetere Gestalt entsteht durch Identifikation mit El, Uebernahme von Baal-Funktionen, Abgrenzung von Aschera/Baal und monotheistische Umdeutung aelterer Ratswesen.'</w:t>
      </w:r>
      <w:r>
        <w:footnoteReference w:id="26"/>
      </w:r>
    </w:p>
    <w:p>
      <w:pPr>
        <w:pStyle w:val="Heading2"/>
      </w:pPr>
      <w:r>
        <w:t>9. Ergebnis und Kapitelstatus</w:t>
      </w:r>
    </w:p>
    <w:p>
      <w:r>
        <w:rPr>
          <w:rFonts w:ascii="Arial" w:hAnsi="Arial"/>
        </w:rPr>
        <w:t>Kapitel 3 liegt als druckreife Lesefassung V1 vor. Ergebnis: Ugarit liefert den wichtigsten westsemitischen Vergleichsrahmen fuer das Modell des goettlichen Rates. Es macht Dtn 32,8-9 und Psalm 82 historisch plausibel, erklaert die Bedeutung von El als Hauptbezugspunkt JHWHs und zeigt, warum Baal- und Aschera-Motive spaeter in der Bibel so stark auftreten. Zugleich zwingt Ugarit zur methodischen Vorsicht: Die Texte stuetzen Einfluss, Konkurrenz, Funktionsuebernahme und Identifikation JHWHs mit El, aber keine pauschale Gleichsetzung aller Gottheiten.</w:t>
      </w:r>
    </w:p>
    <w:p>
      <w:pPr>
        <w:pStyle w:val="Heading2"/>
      </w:pPr>
      <w:r>
        <w:t>10. Druckreifepruefung Kapitel 3</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Ugarit wird als westsemitischer Vergleichsrahmen ausgewertet, nicht als direkte israelitische Vorgeschichte.</w:t>
            </w:r>
          </w:p>
        </w:tc>
      </w:tr>
      <w:tr>
        <w:tc>
          <w:tcPr>
            <w:tcW w:type="dxa" w:w="2400"/>
            <w:vAlign w:val="top"/>
          </w:tcPr>
          <w:p>
            <w:r/>
            <w:r>
              <w:rPr>
                <w:rFonts w:ascii="Arial" w:hAnsi="Arial"/>
                <w:b w:val="0"/>
                <w:sz w:val="16"/>
              </w:rPr>
              <w:t>Beleggrenzen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Belegt sind El/Ilu, Athirat, Baal/Hadad und goettliche Gruppen im Ugarit-Material; direkte Identitaeten werden abgegrenzt.</w:t>
            </w:r>
          </w:p>
        </w:tc>
      </w:tr>
      <w:tr>
        <w:tc>
          <w:tcPr>
            <w:tcW w:type="dxa" w:w="2400"/>
            <w:vAlign w:val="top"/>
          </w:tcPr>
          <w:p>
            <w:r/>
            <w:r>
              <w:rPr>
                <w:rFonts w:ascii="Arial" w:hAnsi="Arial"/>
                <w:b w:val="0"/>
                <w:sz w:val="16"/>
              </w:rPr>
              <w:t>Hauptthese differenziert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Funktionsuebernahme, Titelverschiebung und Identifikation werden von pauschaler Gleichsetzung getrennt.</w:t>
            </w:r>
          </w:p>
        </w:tc>
      </w:tr>
      <w:tr>
        <w:tc>
          <w:tcPr>
            <w:tcW w:type="dxa" w:w="2400"/>
            <w:vAlign w:val="top"/>
          </w:tcPr>
          <w:p>
            <w:r/>
            <w:r>
              <w:rPr>
                <w:rFonts w:ascii="Arial" w:hAnsi="Arial"/>
                <w:b w:val="0"/>
                <w:sz w:val="16"/>
              </w:rPr>
              <w:t>Aschera abgegrenzt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Athirat in Ugarit wird als Hintergrund markiert; Kuntillet Ajrud/Khirbet el-Qom bleiben ein eigenes Streitdossier.</w:t>
            </w:r>
          </w:p>
        </w:tc>
      </w:tr>
      <w:tr>
        <w:tc>
          <w:tcPr>
            <w:tcW w:type="dxa" w:w="2400"/>
            <w:vAlign w:val="top"/>
          </w:tcPr>
          <w:p>
            <w:r/>
            <w:r>
              <w:rPr>
                <w:rFonts w:ascii="Arial" w:hAnsi="Arial"/>
                <w:b w:val="0"/>
                <w:sz w:val="16"/>
              </w:rPr>
              <w:t>Anunnaki-Abgrenzung</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Mesopotamische Goettergruppen werden nicht mit ugaritischen oder biblischen Ratswesen gleichgesetzt.</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in neutrale Sachprosa ueberfuehrt.</w:t>
            </w:r>
          </w:p>
        </w:tc>
      </w:tr>
    </w:tbl>
    <w:p>
      <w:pPr>
        <w:pStyle w:val="Heading2"/>
      </w:pPr>
      <w:r>
        <w:t>11. Quellenbasis fuer Kapitel 3</w:t>
      </w:r>
    </w:p>
    <w:p>
      <w:pPr>
        <w:pStyle w:val="ListBullet"/>
      </w:pPr>
      <w:r>
        <w:rPr>
          <w:rFonts w:ascii="Arial" w:hAnsi="Arial"/>
        </w:rPr>
        <w:t>Mark S. Smith, The Origins of Biblical Monotheism: Israel's Polytheistic Background and the Ugaritic Texts, Oxford University Press, 2001; besonders zu divine council, divine family, El/JHWH und Ugarit als Vergleichsrahmen.</w:t>
      </w:r>
    </w:p>
    <w:p>
      <w:pPr>
        <w:pStyle w:val="ListBullet"/>
      </w:pPr>
      <w:r>
        <w:rPr>
          <w:rFonts w:ascii="Arial" w:hAnsi="Arial"/>
        </w:rPr>
        <w:t>Mark S. Smith / Wayne T. Pitard, The Ugaritic Baal Cycle, Volume I, Brill, 1994; zum Baal-Zyklus, El, Athirat und der goettlichen Hierarchie.</w:t>
      </w:r>
    </w:p>
    <w:p>
      <w:pPr>
        <w:pStyle w:val="ListBullet"/>
      </w:pPr>
      <w:r>
        <w:rPr>
          <w:rFonts w:ascii="Arial" w:hAnsi="Arial"/>
        </w:rPr>
        <w:t>Intertextual.Bible, 'How Deuteronomy 32 Echoes the Baal Cycle's Seventy Sons', mit KTU 1.4 VI 46 und Dtn 32,8 als Vergleich.</w:t>
      </w:r>
    </w:p>
    <w:p>
      <w:pPr>
        <w:pStyle w:val="ListBullet"/>
      </w:pPr>
      <w:r>
        <w:rPr>
          <w:rFonts w:ascii="Arial" w:hAnsi="Arial"/>
        </w:rPr>
        <w:t>Nicholas Wyatt, The Archaeology of Myth, Equinox, 2010, S. 69-70; zur Deutung der '70 Soehne Athirats' als rhetorische Totalzahl und zum Vergleich mit Dtn 32.</w:t>
      </w:r>
    </w:p>
    <w:p>
      <w:pPr>
        <w:pStyle w:val="ListBullet"/>
      </w:pPr>
      <w:r>
        <w:rPr>
          <w:rFonts w:ascii="Arial" w:hAnsi="Arial"/>
        </w:rPr>
        <w:t>Aicha Rahmouni, The Gods of Mount Sapanu: Deity Groups in the Ugaritic Alphabetic Texts, Peeters/JSTOR, 2023; zu Ugarit als polytheistischem System mit zahlreichen Goettergruppen.</w:t>
      </w:r>
    </w:p>
    <w:p>
      <w:pPr>
        <w:pStyle w:val="ListBullet"/>
      </w:pPr>
      <w:r>
        <w:rPr>
          <w:rFonts w:ascii="Arial" w:hAnsi="Arial"/>
        </w:rPr>
        <w:t>Lexham Bible Dictionary, Artikel 'Baal Cycle', zum Ablauf von KTU 1.3-1.4, Athirats Vermittlung und Baals Palast.</w:t>
      </w:r>
    </w:p>
    <w:p>
      <w:pPr>
        <w:pStyle w:val="ListBullet"/>
      </w:pPr>
      <w:r>
        <w:rPr>
          <w:rFonts w:ascii="Arial" w:hAnsi="Arial"/>
        </w:rPr>
        <w:t>K. L. Noll, 'Canaanite Religion', Brandon University, als knapper Ueberblick zu El, Athirat/Aschera, Baal und kanaanaeischem Religionsraum.</w:t>
      </w:r>
    </w:p>
    <w:p>
      <w:r>
        <w:br w:type="page"/>
      </w:r>
    </w:p>
    <w:p>
      <w:pPr>
        <w:pStyle w:val="Heading1"/>
      </w:pPr>
      <w:r>
        <w:t>Kapitel 4: Aschera, Kuntillet Ajrud, Khirbet el-Qom und Volksreligion</w:t>
      </w:r>
    </w:p>
    <w:p>
      <w:r>
        <w:rPr>
          <w:rFonts w:ascii="Arial" w:hAnsi="Arial"/>
        </w:rPr>
        <w:t>Leitfrage: Belegen Kuntillet Ajrud und Khirbet el-Qom, dass JHWH eine Partnerin namens Aschera hatte? Die Antwort lautet: Die Inschriften belegen sehr stark, dass JHWH-Verehrung in Israel/Juda nicht immer der spaeteren normativen Alleinverehrung entsprach und dass 'Aschera/asherah' in Segensformeln mit JHWH verbunden werden konnte. Nicht eindeutig belegt ist dagegen, dass alle Schreiberinnen, Schreiber oder Verehrer damit immer eine personifizierte Ehefrau JHWHs meinten. Die Deutung bleibt wissenschaftlich strittig: Goettin, Kultsymbol, Hypostase, Segenskraft oder lokale Volksreligionsform sind ernsthaft zu pruefende Optionen.</w:t>
      </w:r>
      <w:r>
        <w:footnoteReference w:id="27"/>
      </w:r>
    </w:p>
    <w:p>
      <w:pPr>
        <w:pStyle w:val="Heading2"/>
      </w:pPr>
      <w:r>
        <w:t>1. Ergebnis in Kurzform</w:t>
      </w:r>
    </w:p>
    <w:p>
      <w:pPr>
        <w:pStyle w:val="ListBullet"/>
      </w:pPr>
      <w:r>
        <w:rPr>
          <w:rFonts w:ascii="Arial" w:hAnsi="Arial"/>
        </w:rPr>
        <w:t>Belegt ist: Kuntillet Ajrud und Khirbet el-Qom enthalten Segensformeln, die JHWH mit 'seiner asherah/Aschera' verbinden.</w:t>
      </w:r>
    </w:p>
    <w:p>
      <w:pPr>
        <w:pStyle w:val="ListBullet"/>
      </w:pPr>
      <w:r>
        <w:rPr>
          <w:rFonts w:ascii="Arial" w:hAnsi="Arial"/>
        </w:rPr>
        <w:t>Belegt ist auch: Der Befund passt nicht gut zu einer Vorstellung, wonach Israel/Juda von Anfang an rein monotheistisch und bildlos gewesen sei.</w:t>
      </w:r>
    </w:p>
    <w:p>
      <w:pPr>
        <w:pStyle w:val="ListBullet"/>
      </w:pPr>
      <w:r>
        <w:rPr>
          <w:rFonts w:ascii="Arial" w:hAnsi="Arial"/>
        </w:rPr>
        <w:t>Plausibel ist: Teile der gelebten Religion verbanden JHWH mit einer weiblich konnotierten Segens-, Schutz- oder Kultgroesse.</w:t>
      </w:r>
    </w:p>
    <w:p>
      <w:pPr>
        <w:pStyle w:val="ListBullet"/>
      </w:pPr>
      <w:r>
        <w:rPr>
          <w:rFonts w:ascii="Arial" w:hAnsi="Arial"/>
        </w:rPr>
        <w:t>Strittig ist: Ob 'seine Aschera' eine eigenstaendige Goettin, ein Kultsymbol, eine Hypostase oder eine grammatisch anders zu verstehende Namensform bezeichnet.</w:t>
      </w:r>
    </w:p>
    <w:p>
      <w:pPr>
        <w:pStyle w:val="ListBullet"/>
      </w:pPr>
      <w:r>
        <w:rPr>
          <w:rFonts w:ascii="Arial" w:hAnsi="Arial"/>
        </w:rPr>
        <w:t>Nicht sauber belegbar ist: Maria als Mutter Jesu durch Aschera zu ersetzen. Das ist eine spaetere christologische Frage und laesst sich aus den eisenzeitlichen Aschera-Inschriften nicht ableiten.</w:t>
      </w:r>
    </w:p>
    <w:p>
      <w:pPr>
        <w:pStyle w:val="ListBullet"/>
      </w:pPr>
      <w:r>
        <w:rPr>
          <w:rFonts w:ascii="Arial" w:hAnsi="Arial"/>
        </w:rPr>
        <w:t>Fuer die Hauptthese ist Aschera wichtig, weil sie zeigt, dass die spaetere monotheistische JHWH-Theologie weibliche Goettinnen- und Kulttraditionen nicht einfach nie kannte, sondern sie ausgrenzte, umdeutete oder in JHWHs eigene Segensmacht integrierte.</w:t>
      </w:r>
    </w:p>
    <w:p>
      <w:pPr>
        <w:pStyle w:val="Heading2"/>
      </w:pPr>
      <w:r>
        <w:t>2. Kuntillet Ajrud: Was ist der Befund?</w:t>
      </w:r>
    </w:p>
    <w:p>
      <w:r>
        <w:rPr>
          <w:rFonts w:ascii="Arial" w:hAnsi="Arial"/>
        </w:rPr>
        <w:t>Kuntillet Ajrud ist ein eisenzeitlicher Fundplatz im noerdlichen Sinai, meist in das spaete 9. oder fruehe 8. Jahrhundert v. Chr. datiert. Die Inschriften sind fuer die Religionsgeschichte Israels ausserordentlich wichtig, weil sie JHWH in Segensformeln nennen, darunter 'JHWH von Samaria' und 'JHWH von Teman', und weil die bekannte Formel 'JHWH und seine asherah/Aschera' erscheint.</w:t>
      </w:r>
      <w:r>
        <w:footnoteReference w:id="28"/>
      </w:r>
    </w:p>
    <w:p>
      <w:r>
        <w:rPr>
          <w:rFonts w:ascii="Arial" w:hAnsi="Arial"/>
        </w:rPr>
        <w:t>Jeremy Smoak und William Schniedewind betonen in Religion at Kuntillet Ajrud, dass die Inschriften zu den wichtigsten ausserbiblischen Textdaten fuer die Religion des Nordreichs Israel in der fruehen Eisenzeit gehoeren. Zugleich warnen sie vor einer zu engen Deutung des Ortes als Tempel oder Kultstaette. Sie sehen die religioesen Inschriften in einem Kontext von Alltag, Verwaltung, Reisestation, Militaer und Schreiberausbildung. Das ist methodisch wichtig: Die Formeln zeigen gelebte religioese Sprache, aber nicht automatisch einen offiziellen Tempelkult.</w:t>
      </w:r>
      <w:r>
        <w:footnoteReference w:id="29"/>
      </w:r>
    </w:p>
    <w:p>
      <w:r>
        <w:rPr>
          <w:rFonts w:ascii="Arial" w:hAnsi="Arial"/>
        </w:rPr>
        <w:t>Die Zeichnungen auf den Pithoi wurden oft mit JHWH und Aschera verbunden. Diese Verbindung ist aber unsicher. Viele Forschende sehen in den Figuren eher Bes- oder Bes-aehnliche Motive, und Smoak/Schniedewind sowie andere betonen, dass Zeichnung und Inschrift nicht zwingend zusammengehoeren. Deshalb darf man nicht aus dem Bild allein schliessen: Hier ist JHWH mit seiner Frau dargestellt.</w:t>
      </w:r>
      <w:r>
        <w:footnoteReference w:id="30"/>
      </w:r>
    </w:p>
    <w:p>
      <w:pPr>
        <w:pStyle w:val="Heading2"/>
      </w:pPr>
      <w:r>
        <w:t>3. Khirbet el-Qom: Zweiter Inschriftenanker</w:t>
      </w:r>
    </w:p>
    <w:p>
      <w:r>
        <w:rPr>
          <w:rFonts w:ascii="Arial" w:hAnsi="Arial"/>
        </w:rPr>
        <w:t>Khirbet el-Qom liegt westlich von Hebron im judaeischen Raum. Die beruehmte Grabinschrift wird palaeographisch haeufig in das 8. bis fruehe 7. Jahrhundert v. Chr. eingeordnet. Auch hier erscheint eine Segens- und Schutzformel mit JHWH und asherah/Aschera. Der Text ist schwieriger zu lesen als moderne Kurzfassungen oft suggerieren; Syntax, Zeilenfuehrung und Beschaedigung fuehren zu unterschiedlichen Uebersetzungen.</w:t>
      </w:r>
      <w:r>
        <w:footnoteReference w:id="31"/>
      </w:r>
    </w:p>
    <w:p>
      <w:r>
        <w:rPr>
          <w:rFonts w:ascii="Arial" w:hAnsi="Arial"/>
        </w:rPr>
        <w:t>Ziony Zevit deutete die Khirbet-el-Qom-Inschrift frueh als Hinweis auf eine Goettin. Tilde Binger kommt in ihrer Untersuchung Ashera in Israel zu einer starken Pro-These und liest Aschera als Partnerin JHWHs im 8./7. Jahrhundert v. Chr. Andere Forschende, darunter Saul Olyan und spaeter Jun Kim, halten die Deutung als Kultsymbol oder nicht-personale asherah fuer wahrscheinlicher. Die Inschrift ist also kein isolierter Beweisstein, sondern ein wichtiger Teil eines groesseren Deutungsstreits.</w:t>
      </w:r>
      <w:r>
        <w:footnoteReference w:id="32"/>
      </w:r>
    </w:p>
    <w:p>
      <w:r>
        <w:br w:type="page"/>
      </w:r>
    </w:p>
    <w:p>
      <w:pPr>
        <w:pStyle w:val="Heading2"/>
      </w:pPr>
      <w:r>
        <w:t>4. Die vier Hauptdeutungen von 'seine Aschera'</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Deutung</w:t>
            </w:r>
          </w:p>
        </w:tc>
        <w:tc>
          <w:tcPr>
            <w:tcW w:type="dxa" w:w="2500"/>
            <w:vAlign w:val="top"/>
            <w:shd w:fill="F1F3F4"/>
          </w:tcPr>
          <w:p>
            <w:r/>
            <w:r>
              <w:rPr>
                <w:rFonts w:ascii="Arial" w:hAnsi="Arial"/>
                <w:b/>
                <w:sz w:val="16"/>
              </w:rPr>
              <w:t>Kernaussage</w:t>
            </w:r>
          </w:p>
        </w:tc>
        <w:tc>
          <w:tcPr>
            <w:tcW w:type="dxa" w:w="3200"/>
            <w:vAlign w:val="top"/>
            <w:shd w:fill="F1F3F4"/>
          </w:tcPr>
          <w:p>
            <w:r/>
            <w:r>
              <w:rPr>
                <w:rFonts w:ascii="Arial" w:hAnsi="Arial"/>
                <w:b/>
                <w:sz w:val="16"/>
              </w:rPr>
              <w:t>Argumente dafuer</w:t>
            </w:r>
          </w:p>
        </w:tc>
        <w:tc>
          <w:tcPr>
            <w:tcW w:type="dxa" w:w="1500"/>
            <w:vAlign w:val="top"/>
            <w:shd w:fill="F1F3F4"/>
          </w:tcPr>
          <w:p>
            <w:r/>
            <w:r>
              <w:rPr>
                <w:rFonts w:ascii="Arial" w:hAnsi="Arial"/>
                <w:b/>
                <w:sz w:val="16"/>
              </w:rPr>
              <w:t>Probleme/Grenzen</w:t>
            </w:r>
          </w:p>
        </w:tc>
      </w:tr>
      <w:tr>
        <w:tc>
          <w:tcPr>
            <w:tcW w:type="dxa" w:w="1800"/>
            <w:vAlign w:val="top"/>
          </w:tcPr>
          <w:p>
            <w:r/>
            <w:r>
              <w:rPr>
                <w:rFonts w:ascii="Arial" w:hAnsi="Arial"/>
                <w:b w:val="0"/>
                <w:sz w:val="16"/>
              </w:rPr>
              <w:t>Goettin/Partnerin</w:t>
            </w:r>
          </w:p>
        </w:tc>
        <w:tc>
          <w:tcPr>
            <w:tcW w:type="dxa" w:w="2500"/>
            <w:vAlign w:val="top"/>
          </w:tcPr>
          <w:p>
            <w:r/>
            <w:r>
              <w:rPr>
                <w:rFonts w:ascii="Arial" w:hAnsi="Arial"/>
                <w:b w:val="0"/>
                <w:sz w:val="16"/>
              </w:rPr>
              <w:t>Aschera ist die weibliche Goettin, die im JHWH-Umfeld als Partnerin oder Segensmacht verehrt wurde.</w:t>
            </w:r>
          </w:p>
        </w:tc>
        <w:tc>
          <w:tcPr>
            <w:tcW w:type="dxa" w:w="3200"/>
            <w:vAlign w:val="top"/>
          </w:tcPr>
          <w:p>
            <w:r/>
            <w:r>
              <w:rPr>
                <w:rFonts w:ascii="Arial" w:hAnsi="Arial"/>
                <w:b w:val="0"/>
                <w:sz w:val="16"/>
              </w:rPr>
              <w:t>Ugarit kennt Athirat als grosse Goettin im Umfeld Els; Inschriften verbinden JHWH und asherah; Volksreligion muss nicht normativer Bibeltheologie entsprechen.</w:t>
            </w:r>
          </w:p>
        </w:tc>
        <w:tc>
          <w:tcPr>
            <w:tcW w:type="dxa" w:w="1500"/>
            <w:vAlign w:val="top"/>
          </w:tcPr>
          <w:p>
            <w:r/>
            <w:r>
              <w:rPr>
                <w:rFonts w:ascii="Arial" w:hAnsi="Arial"/>
                <w:b w:val="0"/>
                <w:sz w:val="16"/>
              </w:rPr>
              <w:t>Possessivsuffix und fehlende eindeutige Ikonographie erschweren die direkte Ehefrau-Deutung.</w:t>
            </w:r>
          </w:p>
        </w:tc>
      </w:tr>
      <w:tr>
        <w:tc>
          <w:tcPr>
            <w:tcW w:type="dxa" w:w="1800"/>
            <w:vAlign w:val="top"/>
          </w:tcPr>
          <w:p>
            <w:r/>
            <w:r>
              <w:rPr>
                <w:rFonts w:ascii="Arial" w:hAnsi="Arial"/>
                <w:b w:val="0"/>
                <w:sz w:val="16"/>
              </w:rPr>
              <w:t>Kultsymbol</w:t>
            </w:r>
          </w:p>
        </w:tc>
        <w:tc>
          <w:tcPr>
            <w:tcW w:type="dxa" w:w="2500"/>
            <w:vAlign w:val="top"/>
          </w:tcPr>
          <w:p>
            <w:r/>
            <w:r>
              <w:rPr>
                <w:rFonts w:ascii="Arial" w:hAnsi="Arial"/>
                <w:b w:val="0"/>
                <w:sz w:val="16"/>
              </w:rPr>
              <w:t>asherah meint einen heiligen Baum, Pfahl, Kultgegenstand oder Symbol der Goettin bzw. ihrer Segenskraft.</w:t>
            </w:r>
          </w:p>
        </w:tc>
        <w:tc>
          <w:tcPr>
            <w:tcW w:type="dxa" w:w="3200"/>
            <w:vAlign w:val="top"/>
          </w:tcPr>
          <w:p>
            <w:r/>
            <w:r>
              <w:rPr>
                <w:rFonts w:ascii="Arial" w:hAnsi="Arial"/>
                <w:b w:val="0"/>
                <w:sz w:val="16"/>
              </w:rPr>
              <w:t>Biblische Texte kennen Ascheren als entfernbare Kultobjekte; Possessivform 'seine asherah' passt eher zu Besitz eines Symbols.</w:t>
            </w:r>
          </w:p>
        </w:tc>
        <w:tc>
          <w:tcPr>
            <w:tcW w:type="dxa" w:w="1500"/>
            <w:vAlign w:val="top"/>
          </w:tcPr>
          <w:p>
            <w:r/>
            <w:r>
              <w:rPr>
                <w:rFonts w:ascii="Arial" w:hAnsi="Arial"/>
                <w:b w:val="0"/>
                <w:sz w:val="16"/>
              </w:rPr>
              <w:t>Ein Symbol kann trotzdem auf eine Goettin verweisen; Objekt und Goettin sind nicht scharf zu trennen.</w:t>
            </w:r>
          </w:p>
        </w:tc>
      </w:tr>
      <w:tr>
        <w:tc>
          <w:tcPr>
            <w:tcW w:type="dxa" w:w="1800"/>
            <w:vAlign w:val="top"/>
          </w:tcPr>
          <w:p>
            <w:r/>
            <w:r>
              <w:rPr>
                <w:rFonts w:ascii="Arial" w:hAnsi="Arial"/>
                <w:b w:val="0"/>
                <w:sz w:val="16"/>
              </w:rPr>
              <w:t>Hypostase/Segenskraft</w:t>
            </w:r>
          </w:p>
        </w:tc>
        <w:tc>
          <w:tcPr>
            <w:tcW w:type="dxa" w:w="2500"/>
            <w:vAlign w:val="top"/>
          </w:tcPr>
          <w:p>
            <w:r/>
            <w:r>
              <w:rPr>
                <w:rFonts w:ascii="Arial" w:hAnsi="Arial"/>
                <w:b w:val="0"/>
                <w:sz w:val="16"/>
              </w:rPr>
              <w:t>asherah bezeichnet eine personifizierte oder symbolische Segens-/Schutzkraft JHWHs.</w:t>
            </w:r>
          </w:p>
        </w:tc>
        <w:tc>
          <w:tcPr>
            <w:tcW w:type="dxa" w:w="3200"/>
            <w:vAlign w:val="top"/>
          </w:tcPr>
          <w:p>
            <w:r/>
            <w:r>
              <w:rPr>
                <w:rFonts w:ascii="Arial" w:hAnsi="Arial"/>
                <w:b w:val="0"/>
                <w:sz w:val="16"/>
              </w:rPr>
              <w:t>Segensformeln in Kuntillet Ajrud und Khirbet el-Qom passen zu einer Schutzfunktion; vermeidet grobe Ehefrau-Vereinfachung.</w:t>
            </w:r>
          </w:p>
        </w:tc>
        <w:tc>
          <w:tcPr>
            <w:tcW w:type="dxa" w:w="1500"/>
            <w:vAlign w:val="top"/>
          </w:tcPr>
          <w:p>
            <w:r/>
            <w:r>
              <w:rPr>
                <w:rFonts w:ascii="Arial" w:hAnsi="Arial"/>
                <w:b w:val="0"/>
                <w:sz w:val="16"/>
              </w:rPr>
              <w:t>Bleibt schwer direkt nachweisbar und kann wie ein Kompromissmodell wirken.</w:t>
            </w:r>
          </w:p>
        </w:tc>
      </w:tr>
      <w:tr>
        <w:tc>
          <w:tcPr>
            <w:tcW w:type="dxa" w:w="1800"/>
            <w:vAlign w:val="top"/>
          </w:tcPr>
          <w:p>
            <w:r/>
            <w:r>
              <w:rPr>
                <w:rFonts w:ascii="Arial" w:hAnsi="Arial"/>
                <w:b w:val="0"/>
                <w:sz w:val="16"/>
              </w:rPr>
              <w:t>Namens-/Grammatikdeutung</w:t>
            </w:r>
          </w:p>
        </w:tc>
        <w:tc>
          <w:tcPr>
            <w:tcW w:type="dxa" w:w="2500"/>
            <w:vAlign w:val="top"/>
          </w:tcPr>
          <w:p>
            <w:r/>
            <w:r>
              <w:rPr>
                <w:rFonts w:ascii="Arial" w:hAnsi="Arial"/>
                <w:b w:val="0"/>
                <w:sz w:val="16"/>
              </w:rPr>
              <w:t>Die Form 'srth wird anders grammatisch erklaert, etwa als erhaltene Namensform Asherata ohne 'sein'.</w:t>
            </w:r>
          </w:p>
        </w:tc>
        <w:tc>
          <w:tcPr>
            <w:tcW w:type="dxa" w:w="3200"/>
            <w:vAlign w:val="top"/>
          </w:tcPr>
          <w:p>
            <w:r/>
            <w:r>
              <w:rPr>
                <w:rFonts w:ascii="Arial" w:hAnsi="Arial"/>
                <w:b w:val="0"/>
                <w:sz w:val="16"/>
              </w:rPr>
              <w:t>Neuere Arbeiten wie Richard S. Hess 2025 verweisen auf westsemitische Schreibungen und Amoriter-Belege.</w:t>
            </w:r>
          </w:p>
        </w:tc>
        <w:tc>
          <w:tcPr>
            <w:tcW w:type="dxa" w:w="1500"/>
            <w:vAlign w:val="top"/>
          </w:tcPr>
          <w:p>
            <w:r/>
            <w:r>
              <w:rPr>
                <w:rFonts w:ascii="Arial" w:hAnsi="Arial"/>
                <w:b w:val="0"/>
                <w:sz w:val="16"/>
              </w:rPr>
              <w:t>Noch jung und nicht Konsens; aendert nicht, dass Aschera/Asherata mit JHWH im Inschriftenkontext verbunden ist.</w:t>
            </w:r>
          </w:p>
        </w:tc>
      </w:tr>
    </w:tbl>
    <w:p>
      <w:pPr>
        <w:pStyle w:val="Heading2"/>
      </w:pPr>
      <w:r>
        <w:t>5. Volksreligion versus normative Bibeltheologie</w:t>
      </w:r>
    </w:p>
    <w:p>
      <w:r>
        <w:rPr>
          <w:rFonts w:ascii="Arial" w:hAnsi="Arial"/>
        </w:rPr>
        <w:t>Der wichtigste Erkenntnisgewinn liegt nicht darin, sofort eine eindeutige Ehefrau JHWHs zu behaupten. Der wichtigere Befund lautet: Die tatsaechlich gelebte Religion in Israel und Juda war breiter, vielschichtiger und lokaler als die spaetere normative Bibeltheologie. Die biblischen Texte gegen Aschera, Baal und 'fremde Goetter' sind nicht nur abstrakte Verbote, sondern reagieren wahrscheinlich auf reale Kulte und Praktiken.</w:t>
      </w:r>
      <w:r>
        <w:footnoteReference w:id="33"/>
      </w:r>
    </w:p>
    <w:p>
      <w:r>
        <w:rPr>
          <w:rFonts w:ascii="Arial" w:hAnsi="Arial"/>
        </w:rPr>
        <w:t>Damit erklaert sich ein zentraler Widerspruch: Wenn JHWH von Anfang an als einziger existierender Gott verstanden worden waere, waere die staendige Polemik gegen andere Goetter, Ascheren und Kultbilder schwerer zu verstehen. Viel plausibler ist, dass exklusive JHWH-Verehrung gegen konkurrierende oder integrierte Formen gelebter Religion durchgesetzt wurde. Aschera ist dafuer einer der wichtigsten Testfaelle.</w:t>
      </w:r>
    </w:p>
    <w:p>
      <w:pPr>
        <w:pStyle w:val="Heading2"/>
      </w:pPr>
      <w:r>
        <w:t>6. Bedeutung fuer die Hauptthese</w:t>
      </w:r>
    </w:p>
    <w:p>
      <w:r>
        <w:rPr>
          <w:rFonts w:ascii="Arial" w:hAnsi="Arial"/>
        </w:rPr>
        <w:t>Aschera stuetzt die Grundannahme, dass die spaetere JHWH-Religion aus einer aelteren goettlichen Mehrwesenheit heraus verstanden werden muss. Sie zeigt, dass JHWH nicht von Anfang an in allen Schichten als isolierter, beziehungsloser Einzelgott gedacht wurde. Im Umfeld von El konnte eine Goettin wie Athirat/Aschera selbstverstaendlich sein; wenn JHWH mit El identifiziert wurde, konnte auch die Aschera-Tradition in sein Umfeld wandern.</w:t>
      </w:r>
    </w:p>
    <w:p>
      <w:r>
        <w:rPr>
          <w:rFonts w:ascii="Arial" w:hAnsi="Arial"/>
        </w:rPr>
        <w:t>Gleichzeitig ist hier eine wichtige Grenze zu ziehen: Aschera wird dadurch nicht automatisch zur Mutter Jesu. Zwischen eisenzeitlicher Volksreligion, spaeter juedischer Monotheisierung, neutestamentlicher Christologie und christlicher Mariologie liegen viele Jahrhunderte und voellig andere Textsysteme. Die wissenschaftlich tragfaehige These lautet: Aschera kann als Hinweis auf verdraengte oder umgedeutete weibliche Gottheits- und Segensvorstellungen im JHWH-Umfeld dienen. Sie ersetzt aber nicht Maria und beweist keine direkte biologische oder theologische Mutterschaft Jesu.</w:t>
      </w:r>
      <w:r>
        <w:footnoteReference w:id="34"/>
      </w:r>
    </w:p>
    <w:p>
      <w:pPr>
        <w:pStyle w:val="Heading2"/>
      </w:pPr>
      <w:r>
        <w:t>7. Antwortmatrix zu Aschera</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Aussage</w:t>
            </w:r>
          </w:p>
        </w:tc>
        <w:tc>
          <w:tcPr>
            <w:tcW w:type="dxa" w:w="2500"/>
            <w:vAlign w:val="top"/>
            <w:shd w:fill="F1F3F4"/>
          </w:tcPr>
          <w:p>
            <w:r/>
            <w:r>
              <w:rPr>
                <w:rFonts w:ascii="Arial" w:hAnsi="Arial"/>
                <w:b/>
                <w:sz w:val="16"/>
              </w:rPr>
              <w:t>Beleggrad</w:t>
            </w:r>
          </w:p>
        </w:tc>
        <w:tc>
          <w:tcPr>
            <w:tcW w:type="dxa" w:w="3200"/>
            <w:vAlign w:val="top"/>
            <w:shd w:fill="F1F3F4"/>
          </w:tcPr>
          <w:p>
            <w:r/>
            <w:r>
              <w:rPr>
                <w:rFonts w:ascii="Arial" w:hAnsi="Arial"/>
                <w:b/>
                <w:sz w:val="16"/>
              </w:rPr>
              <w:t>Begruendung</w:t>
            </w:r>
          </w:p>
        </w:tc>
        <w:tc>
          <w:tcPr>
            <w:tcW w:type="dxa" w:w="1500"/>
            <w:vAlign w:val="top"/>
            <w:shd w:fill="F1F3F4"/>
          </w:tcPr>
          <w:p>
            <w:r/>
            <w:r>
              <w:rPr>
                <w:rFonts w:ascii="Arial" w:hAnsi="Arial"/>
                <w:b/>
                <w:sz w:val="16"/>
              </w:rPr>
              <w:t>Folgerung</w:t>
            </w:r>
          </w:p>
        </w:tc>
      </w:tr>
      <w:tr>
        <w:tc>
          <w:tcPr>
            <w:tcW w:type="dxa" w:w="1800"/>
            <w:vAlign w:val="top"/>
          </w:tcPr>
          <w:p>
            <w:r/>
            <w:r>
              <w:rPr>
                <w:rFonts w:ascii="Arial" w:hAnsi="Arial"/>
                <w:b w:val="0"/>
                <w:sz w:val="16"/>
              </w:rPr>
              <w:t>Kuntillet Ajrud nennt JHWH und seine asherah/Aschera.</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Die Segensformeln mit JHWH von Samaria/Teman und asherah/Aschera sind der zentrale Inschriftenbefund.</w:t>
            </w:r>
          </w:p>
        </w:tc>
        <w:tc>
          <w:tcPr>
            <w:tcW w:type="dxa" w:w="1500"/>
            <w:vAlign w:val="top"/>
          </w:tcPr>
          <w:p>
            <w:r/>
            <w:r>
              <w:rPr>
                <w:rFonts w:ascii="Arial" w:hAnsi="Arial"/>
                <w:b w:val="0"/>
                <w:sz w:val="16"/>
              </w:rPr>
              <w:t>Als direkten epigraphischen Befund verwenden.</w:t>
            </w:r>
          </w:p>
        </w:tc>
      </w:tr>
      <w:tr>
        <w:tc>
          <w:tcPr>
            <w:tcW w:type="dxa" w:w="1800"/>
            <w:vAlign w:val="top"/>
          </w:tcPr>
          <w:p>
            <w:r/>
            <w:r>
              <w:rPr>
                <w:rFonts w:ascii="Arial" w:hAnsi="Arial"/>
                <w:b w:val="0"/>
                <w:sz w:val="16"/>
              </w:rPr>
              <w:t>Khirbet el-Qom stuetzt einen verwandten JHWH-asherah-Befund.</w:t>
            </w:r>
          </w:p>
        </w:tc>
        <w:tc>
          <w:tcPr>
            <w:tcW w:type="dxa" w:w="2500"/>
            <w:vAlign w:val="top"/>
          </w:tcPr>
          <w:p>
            <w:r/>
            <w:r>
              <w:rPr>
                <w:rFonts w:ascii="Arial" w:hAnsi="Arial"/>
                <w:b w:val="0"/>
                <w:sz w:val="16"/>
              </w:rPr>
              <w:t>Belegt, aber lesungsabhaengig</w:t>
            </w:r>
          </w:p>
        </w:tc>
        <w:tc>
          <w:tcPr>
            <w:tcW w:type="dxa" w:w="3200"/>
            <w:vAlign w:val="top"/>
          </w:tcPr>
          <w:p>
            <w:r/>
            <w:r>
              <w:rPr>
                <w:rFonts w:ascii="Arial" w:hAnsi="Arial"/>
                <w:b w:val="0"/>
                <w:sz w:val="16"/>
              </w:rPr>
              <w:t>Die Grabinschrift wird unterschiedlich gelesen, bleibt aber ein zweiter wichtiger Anker.</w:t>
            </w:r>
          </w:p>
        </w:tc>
        <w:tc>
          <w:tcPr>
            <w:tcW w:type="dxa" w:w="1500"/>
            <w:vAlign w:val="top"/>
          </w:tcPr>
          <w:p>
            <w:r/>
            <w:r>
              <w:rPr>
                <w:rFonts w:ascii="Arial" w:hAnsi="Arial"/>
                <w:b w:val="0"/>
                <w:sz w:val="16"/>
              </w:rPr>
              <w:t>Als starken Zusatzbefund, nicht als alleinige Basis verwenden.</w:t>
            </w:r>
          </w:p>
        </w:tc>
      </w:tr>
      <w:tr>
        <w:tc>
          <w:tcPr>
            <w:tcW w:type="dxa" w:w="1800"/>
            <w:vAlign w:val="top"/>
          </w:tcPr>
          <w:p>
            <w:r/>
            <w:r>
              <w:rPr>
                <w:rFonts w:ascii="Arial" w:hAnsi="Arial"/>
                <w:b w:val="0"/>
                <w:sz w:val="16"/>
              </w:rPr>
              <w:t>Aschera war in Teilen der gelebten Religion Israels/Judas relevant.</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Inschriften, biblische Polemik, Ugarit-Athirat-Hintergrund und Kultsymbolik weisen in dieselbe Richtung.</w:t>
            </w:r>
          </w:p>
        </w:tc>
        <w:tc>
          <w:tcPr>
            <w:tcW w:type="dxa" w:w="1500"/>
            <w:vAlign w:val="top"/>
          </w:tcPr>
          <w:p>
            <w:r/>
            <w:r>
              <w:rPr>
                <w:rFonts w:ascii="Arial" w:hAnsi="Arial"/>
                <w:b w:val="0"/>
                <w:sz w:val="16"/>
              </w:rPr>
              <w:t>Als Kernbefund fuer Volksreligion fuehren.</w:t>
            </w:r>
          </w:p>
        </w:tc>
      </w:tr>
      <w:tr>
        <w:tc>
          <w:tcPr>
            <w:tcW w:type="dxa" w:w="1800"/>
            <w:vAlign w:val="top"/>
          </w:tcPr>
          <w:p>
            <w:r/>
            <w:r>
              <w:rPr>
                <w:rFonts w:ascii="Arial" w:hAnsi="Arial"/>
                <w:b w:val="0"/>
                <w:sz w:val="16"/>
              </w:rPr>
              <w:t>Aschera war offiziell und ueberall JHWHs Ehefrau.</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Die Quellen zeigen keine einheitliche, reichsweite, offizielle JHWH-Aschera-Theologie.</w:t>
            </w:r>
          </w:p>
        </w:tc>
        <w:tc>
          <w:tcPr>
            <w:tcW w:type="dxa" w:w="1500"/>
            <w:vAlign w:val="top"/>
          </w:tcPr>
          <w:p>
            <w:r/>
            <w:r>
              <w:rPr>
                <w:rFonts w:ascii="Arial" w:hAnsi="Arial"/>
                <w:b w:val="0"/>
                <w:sz w:val="16"/>
              </w:rPr>
              <w:t>Nicht pauschal behaupten.</w:t>
            </w:r>
          </w:p>
        </w:tc>
      </w:tr>
      <w:tr>
        <w:tc>
          <w:tcPr>
            <w:tcW w:type="dxa" w:w="1800"/>
            <w:vAlign w:val="top"/>
          </w:tcPr>
          <w:p>
            <w:r/>
            <w:r>
              <w:rPr>
                <w:rFonts w:ascii="Arial" w:hAnsi="Arial"/>
                <w:b w:val="0"/>
                <w:sz w:val="16"/>
              </w:rPr>
              <w:t>'Seine Aschera' meint sicher die Goettin selbst.</w:t>
            </w:r>
          </w:p>
        </w:tc>
        <w:tc>
          <w:tcPr>
            <w:tcW w:type="dxa" w:w="2500"/>
            <w:vAlign w:val="top"/>
          </w:tcPr>
          <w:p>
            <w:r/>
            <w:r>
              <w:rPr>
                <w:rFonts w:ascii="Arial" w:hAnsi="Arial"/>
                <w:b w:val="0"/>
                <w:sz w:val="16"/>
              </w:rPr>
              <w:t>Plausibel/strittig</w:t>
            </w:r>
          </w:p>
        </w:tc>
        <w:tc>
          <w:tcPr>
            <w:tcW w:type="dxa" w:w="3200"/>
            <w:vAlign w:val="top"/>
          </w:tcPr>
          <w:p>
            <w:r/>
            <w:r>
              <w:rPr>
                <w:rFonts w:ascii="Arial" w:hAnsi="Arial"/>
                <w:b w:val="0"/>
                <w:sz w:val="16"/>
              </w:rPr>
              <w:t>Ugaritischer Hintergrund und Pro-Deutungen sprechen dafuer; Possessivform und Symbolgebrauch sprechen fuer Vorsicht.</w:t>
            </w:r>
          </w:p>
        </w:tc>
        <w:tc>
          <w:tcPr>
            <w:tcW w:type="dxa" w:w="1500"/>
            <w:vAlign w:val="top"/>
          </w:tcPr>
          <w:p>
            <w:r/>
            <w:r>
              <w:rPr>
                <w:rFonts w:ascii="Arial" w:hAnsi="Arial"/>
                <w:b w:val="0"/>
                <w:sz w:val="16"/>
              </w:rPr>
              <w:t>Als eine starke Deutungsoption, nicht als zwingendes Ergebnis formulieren.</w:t>
            </w:r>
          </w:p>
        </w:tc>
      </w:tr>
      <w:tr>
        <w:tc>
          <w:tcPr>
            <w:tcW w:type="dxa" w:w="1800"/>
            <w:vAlign w:val="top"/>
          </w:tcPr>
          <w:p>
            <w:r/>
            <w:r>
              <w:rPr>
                <w:rFonts w:ascii="Arial" w:hAnsi="Arial"/>
                <w:b w:val="0"/>
                <w:sz w:val="16"/>
              </w:rPr>
              <w:t>'Seine Aschera' meint sicher nur einen Gegenstand.</w:t>
            </w:r>
          </w:p>
        </w:tc>
        <w:tc>
          <w:tcPr>
            <w:tcW w:type="dxa" w:w="2500"/>
            <w:vAlign w:val="top"/>
          </w:tcPr>
          <w:p>
            <w:r/>
            <w:r>
              <w:rPr>
                <w:rFonts w:ascii="Arial" w:hAnsi="Arial"/>
                <w:b w:val="0"/>
                <w:sz w:val="16"/>
              </w:rPr>
              <w:t>Plausibel/strittig</w:t>
            </w:r>
          </w:p>
        </w:tc>
        <w:tc>
          <w:tcPr>
            <w:tcW w:type="dxa" w:w="3200"/>
            <w:vAlign w:val="top"/>
          </w:tcPr>
          <w:p>
            <w:r/>
            <w:r>
              <w:rPr>
                <w:rFonts w:ascii="Arial" w:hAnsi="Arial"/>
                <w:b w:val="0"/>
                <w:sz w:val="16"/>
              </w:rPr>
              <w:t>Biblische Ascheren als Kultobjekte und grammatische Argumente sprechen dafuer; Symbol und Goettin koennen aber verbunden sein.</w:t>
            </w:r>
          </w:p>
        </w:tc>
        <w:tc>
          <w:tcPr>
            <w:tcW w:type="dxa" w:w="1500"/>
            <w:vAlign w:val="top"/>
          </w:tcPr>
          <w:p>
            <w:r/>
            <w:r>
              <w:rPr>
                <w:rFonts w:ascii="Arial" w:hAnsi="Arial"/>
                <w:b w:val="0"/>
                <w:sz w:val="16"/>
              </w:rPr>
              <w:t>Nicht als Entschaerfung verwenden, sondern als echte Alternative.</w:t>
            </w:r>
          </w:p>
        </w:tc>
      </w:tr>
      <w:tr>
        <w:tc>
          <w:tcPr>
            <w:tcW w:type="dxa" w:w="1800"/>
            <w:vAlign w:val="top"/>
          </w:tcPr>
          <w:p>
            <w:r/>
            <w:r>
              <w:rPr>
                <w:rFonts w:ascii="Arial" w:hAnsi="Arial"/>
                <w:b w:val="0"/>
                <w:sz w:val="16"/>
              </w:rPr>
              <w:t>Aschera beweist eine direkte Mutterrolle fuer Jesus.</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Eisenzeitliche JHWH-Aschera-Befunde und neutestamentliche Christologie liegen in verschiedenen Epochen und Textsystemen.</w:t>
            </w:r>
          </w:p>
        </w:tc>
        <w:tc>
          <w:tcPr>
            <w:tcW w:type="dxa" w:w="1500"/>
            <w:vAlign w:val="top"/>
          </w:tcPr>
          <w:p>
            <w:r/>
            <w:r>
              <w:rPr>
                <w:rFonts w:ascii="Arial" w:hAnsi="Arial"/>
                <w:b w:val="0"/>
                <w:sz w:val="16"/>
              </w:rPr>
              <w:t>Als spekulative Verbindung aus der Hauptthese ausschliessen.</w:t>
            </w:r>
          </w:p>
        </w:tc>
      </w:tr>
      <w:tr>
        <w:tc>
          <w:tcPr>
            <w:tcW w:type="dxa" w:w="1800"/>
            <w:vAlign w:val="top"/>
          </w:tcPr>
          <w:p>
            <w:r/>
            <w:r>
              <w:rPr>
                <w:rFonts w:ascii="Arial" w:hAnsi="Arial"/>
                <w:b w:val="0"/>
                <w:sz w:val="16"/>
              </w:rPr>
              <w:t>Aschera zeigt den Unterschied zwischen Volksreligion und normativer Bibeltheologie.</w:t>
            </w:r>
          </w:p>
        </w:tc>
        <w:tc>
          <w:tcPr>
            <w:tcW w:type="dxa" w:w="2500"/>
            <w:vAlign w:val="top"/>
          </w:tcPr>
          <w:p>
            <w:r/>
            <w:r>
              <w:rPr>
                <w:rFonts w:ascii="Arial" w:hAnsi="Arial"/>
                <w:b w:val="0"/>
                <w:sz w:val="16"/>
              </w:rPr>
              <w:t>Gut belegt bis stark plausibel</w:t>
            </w:r>
          </w:p>
        </w:tc>
        <w:tc>
          <w:tcPr>
            <w:tcW w:type="dxa" w:w="3200"/>
            <w:vAlign w:val="top"/>
          </w:tcPr>
          <w:p>
            <w:r/>
            <w:r>
              <w:rPr>
                <w:rFonts w:ascii="Arial" w:hAnsi="Arial"/>
                <w:b w:val="0"/>
                <w:sz w:val="16"/>
              </w:rPr>
              <w:t>Die spaetere Bibel bekaempft Aschera; die Inschriften zeigen zugleich ihre Relevanz in gelebter Religion.</w:t>
            </w:r>
          </w:p>
        </w:tc>
        <w:tc>
          <w:tcPr>
            <w:tcW w:type="dxa" w:w="1500"/>
            <w:vAlign w:val="top"/>
          </w:tcPr>
          <w:p>
            <w:r/>
            <w:r>
              <w:rPr>
                <w:rFonts w:ascii="Arial" w:hAnsi="Arial"/>
                <w:b w:val="0"/>
                <w:sz w:val="16"/>
              </w:rPr>
              <w:t>Als zentrales Argument fuer den Transformationsprozess verwenden.</w:t>
            </w:r>
          </w:p>
        </w:tc>
      </w:tr>
    </w:tbl>
    <w:p>
      <w:pPr>
        <w:pStyle w:val="Heading2"/>
      </w:pPr>
      <w:r>
        <w:t>8. Konsequenz fuer das Entwicklungsmodell</w:t>
      </w:r>
    </w:p>
    <w:p>
      <w:r>
        <w:rPr>
          <w:rFonts w:ascii="Arial" w:hAnsi="Arial"/>
        </w:rPr>
        <w:t>Aschera ist fuer das Fuenf-Stufen-Modell kein Nebenthema. Sie zeigt, dass die Monotheisierung nicht nur andere maennliche Gottheiten wie Baal abwertet, sondern auch weibliche Goettinnen-, Baum-, Fruchtbarkeits- und Segenssymbolik aus der offiziellen JHWH-Theologie herausdraengt. Gerade wenn JHWH mit El identifiziert wird, ist die Frage naheliegend, was mit Els Umfeld geschieht. Athirat/Aschera ist hier der wichtigste weibliche Testfall.</w:t>
      </w:r>
    </w:p>
    <w:p>
      <w:r>
        <w:rPr>
          <w:rFonts w:ascii="Arial" w:hAnsi="Arial"/>
        </w:rPr>
        <w:t>Fuer die Hauptthese ergibt sich deshalb eine praezise Formulierung: JHWH wurde nicht einfach 'derselbe Gott wie Aschera' oder 'derselbe Gott mit anderer Partnerin'. Vielmehr zeigt Aschera, dass die JHWH-Religion in einem pluralen religioesen Milieu stand, in dem JHWH mit Segens- und Schutzsymbolik verbunden werden konnte, die spaeter aus der normativen Theologie entfernt oder in JHWHs eigene Macht integriert wurde. Das stuetzt die Transformations- und Verdraengungsthese, nicht eine direkte Universalidentitaetsthese.</w:t>
      </w:r>
    </w:p>
    <w:p>
      <w:pPr>
        <w:pStyle w:val="Heading2"/>
      </w:pPr>
      <w:r>
        <w:t>9. Ergebnis und Kapitelstatus</w:t>
      </w:r>
    </w:p>
    <w:p>
      <w:r>
        <w:rPr>
          <w:rFonts w:ascii="Arial" w:hAnsi="Arial"/>
        </w:rPr>
        <w:t>Kapitel 4 liegt als druckreife Lesefassung V1 vor. Ergebnis: Kuntillet Ajrud und Khirbet el-Qom sind starke Belege dafuer, dass JHWH in Teilen der gelebten Religion mit asherah/Aschera verbunden wurde. Sie belegen nicht zwingend eine offiziell anerkannte Ehefrau JHWHs, machen eine solche oder verwandte Deutung aber historisch plausibel genug, um sie ernsthaft zu behandeln. Fuer die Hauptausarbeitung wird Aschera daher als Streitdossier gefuehrt: Goettin, Kultsymbol, Hypostase und Volksreligion werden getrennt bewertet. Als belastbares Ergebnis gilt: Aschera ist ein Schluesselbefund fuer die Differenz zwischen gelebter israelitisch-judaeischer Religion und spaeter normativer JHWH-Monotheologie.</w:t>
      </w:r>
    </w:p>
    <w:p>
      <w:pPr>
        <w:pStyle w:val="Heading2"/>
      </w:pPr>
      <w:r>
        <w:t>10. Druckreifepruefung Kapitel 4</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Kuntillet Ajrud und Khirbet el-Qom werden als starke, aber nicht eindeutige Belege fuer JHWH-asherah-Verbindungen bewertet.</w:t>
            </w:r>
          </w:p>
        </w:tc>
      </w:tr>
      <w:tr>
        <w:tc>
          <w:tcPr>
            <w:tcW w:type="dxa" w:w="2400"/>
            <w:vAlign w:val="top"/>
          </w:tcPr>
          <w:p>
            <w:r/>
            <w:r>
              <w:rPr>
                <w:rFonts w:ascii="Arial" w:hAnsi="Arial"/>
                <w:b w:val="0"/>
                <w:sz w:val="16"/>
              </w:rPr>
              <w:t>Deutungsoptionen getrennt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Goettin/Partnerin, Kultsymbol, Hypostase/Segenskraft und Namens-/Grammatikdeutung werden separat behandelt.</w:t>
            </w:r>
          </w:p>
        </w:tc>
      </w:tr>
      <w:tr>
        <w:tc>
          <w:tcPr>
            <w:tcW w:type="dxa" w:w="2400"/>
            <w:vAlign w:val="top"/>
          </w:tcPr>
          <w:p>
            <w:r/>
            <w:r>
              <w:rPr>
                <w:rFonts w:ascii="Arial" w:hAnsi="Arial"/>
                <w:b w:val="0"/>
                <w:sz w:val="16"/>
              </w:rPr>
              <w:t>Volksreligion eingeordnet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Der Unterschied zwischen gelebter Religion und spaeter normativer JHWH-Theologie ist als Kernbefund markiert.</w:t>
            </w:r>
          </w:p>
        </w:tc>
      </w:tr>
      <w:tr>
        <w:tc>
          <w:tcPr>
            <w:tcW w:type="dxa" w:w="2400"/>
            <w:vAlign w:val="top"/>
          </w:tcPr>
          <w:p>
            <w:r/>
            <w:r>
              <w:rPr>
                <w:rFonts w:ascii="Arial" w:hAnsi="Arial"/>
                <w:b w:val="0"/>
                <w:sz w:val="16"/>
              </w:rPr>
              <w:t>Maria/Jesus-Abgrenzung</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Eine direkte Ableitung Aschera = Mutter Jesu wird als nicht belegt ausgeschlossen.</w:t>
            </w:r>
          </w:p>
        </w:tc>
      </w:tr>
      <w:tr>
        <w:tc>
          <w:tcPr>
            <w:tcW w:type="dxa" w:w="2400"/>
            <w:vAlign w:val="top"/>
          </w:tcPr>
          <w:p>
            <w:r/>
            <w:r>
              <w:rPr>
                <w:rFonts w:ascii="Arial" w:hAnsi="Arial"/>
                <w:b w:val="0"/>
                <w:sz w:val="16"/>
              </w:rPr>
              <w:t>Hauptmodell gestuetzt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Aschera stuetzt Transformations-, Verdraengungs- und Integrationsprozesse, nicht eine pauschale Universalidentitaet.</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in neutrale Sachprosa ueberfuehrt.</w:t>
            </w:r>
          </w:p>
        </w:tc>
      </w:tr>
    </w:tbl>
    <w:p>
      <w:pPr>
        <w:pStyle w:val="Heading2"/>
      </w:pPr>
      <w:r>
        <w:t>11. Quellenbasis fuer Kapitel 4</w:t>
      </w:r>
    </w:p>
    <w:p>
      <w:pPr>
        <w:pStyle w:val="ListBullet"/>
      </w:pPr>
      <w:r>
        <w:rPr>
          <w:rFonts w:ascii="Arial" w:hAnsi="Arial"/>
        </w:rPr>
        <w:t>Jeremy Smoak / William M. Schniedewind, 'Religion at Kuntillet Ajrud', Religions 10/3, 2019, DOI 10.3390/rel10030211; zu Inschriften, Schreiberausbildung, Alltag und Pantheon des Nordreichs.</w:t>
      </w:r>
    </w:p>
    <w:p>
      <w:pPr>
        <w:pStyle w:val="ListBullet"/>
      </w:pPr>
      <w:r>
        <w:rPr>
          <w:rFonts w:ascii="Arial" w:hAnsi="Arial"/>
        </w:rPr>
        <w:t>William M. Schniedewind, The Finger of the Scribe, Oxford University Press, 2019, Kapitel 'Scribal Curriculum at Kuntillet Ajrud'.</w:t>
      </w:r>
    </w:p>
    <w:p>
      <w:pPr>
        <w:pStyle w:val="ListBullet"/>
      </w:pPr>
      <w:r>
        <w:rPr>
          <w:rFonts w:ascii="Arial" w:hAnsi="Arial"/>
        </w:rPr>
        <w:t>Saul M. Olyan, 'Yahweh and His Asherah: the Goddess or Her Symbol?', Vetus Testamentum 49/3, 1999, DOI 10.1163/156853399774228010.</w:t>
      </w:r>
    </w:p>
    <w:p>
      <w:pPr>
        <w:pStyle w:val="ListBullet"/>
      </w:pPr>
      <w:r>
        <w:rPr>
          <w:rFonts w:ascii="Arial" w:hAnsi="Arial"/>
        </w:rPr>
        <w:t>Jun Kim, 'Kuntillet Ajrud Yahweh and His Asherah and the Goddess Asherah...', Korean Journal of Old Testament Studies 24/3, 2018, DOI 10.24333/jkots.2018.24.3.354; contra eindeutige Ehefrau-Deutung.</w:t>
      </w:r>
    </w:p>
    <w:p>
      <w:pPr>
        <w:pStyle w:val="ListBullet"/>
      </w:pPr>
      <w:r>
        <w:rPr>
          <w:rFonts w:ascii="Arial" w:hAnsi="Arial"/>
        </w:rPr>
        <w:t>Ziony Zevit, 'The Khirbet el-Qom Inscription Mentioning a Goddess', BASOR 255, 1984, DOI 10.2307/1357074; frueher Pro-Beleg zur Goettinnen-Deutung.</w:t>
      </w:r>
    </w:p>
    <w:p>
      <w:pPr>
        <w:pStyle w:val="ListBullet"/>
      </w:pPr>
      <w:r>
        <w:rPr>
          <w:rFonts w:ascii="Arial" w:hAnsi="Arial"/>
        </w:rPr>
        <w:t>Tilde Binger, 'Ashera in Israel', Scandinavian Journal of the Old Testament 9/1, 1995, DOI 10.1080/09018329508585053; starke Pro-These zur Aschera als JHWH-Partnerin.</w:t>
      </w:r>
    </w:p>
    <w:p>
      <w:pPr>
        <w:pStyle w:val="ListBullet"/>
      </w:pPr>
      <w:r>
        <w:rPr>
          <w:rFonts w:ascii="Arial" w:hAnsi="Arial"/>
        </w:rPr>
        <w:t>Judith M. Hadley, The Cult of Asherah in Ancient Israel and Judah, Cambridge University Press, 2000; Gesamtstudie zu biblischen, inschriftlichen und ikonographischen Befunden.</w:t>
      </w:r>
    </w:p>
    <w:p>
      <w:pPr>
        <w:pStyle w:val="ListBullet"/>
      </w:pPr>
      <w:r>
        <w:rPr>
          <w:rFonts w:ascii="Arial" w:hAnsi="Arial"/>
        </w:rPr>
        <w:t>Richard S. Hess, 'New Evidence for Asherata/Asherah', Religions 16/4, 2025, DOI 10.3390/rel16040397; neuere Diskussion zur Namensform Asherata/Asherah.</w:t>
      </w:r>
    </w:p>
    <w:p>
      <w:pPr>
        <w:pStyle w:val="ListBullet"/>
      </w:pPr>
      <w:r>
        <w:rPr>
          <w:rFonts w:ascii="Arial" w:hAnsi="Arial"/>
        </w:rPr>
        <w:t>Biblical Archaeology Society, 'Asherah and the Asherim: Goddess or Cult Symbol?', als allgemeinverstaendliche Zusammenfassung der Debatte.</w:t>
      </w:r>
    </w:p>
    <w:p>
      <w:pPr>
        <w:pStyle w:val="ListBullet"/>
      </w:pPr>
      <w:r>
        <w:rPr>
          <w:rFonts w:ascii="Arial" w:hAnsi="Arial"/>
        </w:rPr>
        <w:t>TheTorah.com, 'Aaron's Flowering Staff: A Priestly Asherah?', zur Rolle von asherah/Aschera in Segensformeln und Kultsymbolik.</w:t>
      </w:r>
    </w:p>
    <w:p>
      <w:r>
        <w:br w:type="page"/>
      </w:r>
    </w:p>
    <w:p>
      <w:pPr>
        <w:pStyle w:val="Heading1"/>
      </w:pPr>
      <w:r>
        <w:t>Kapitel 5: Baal/Hadad, Adad und die Funktionsuebernahme durch JHWH</w:t>
      </w:r>
    </w:p>
    <w:p>
      <w:r>
        <w:rPr>
          <w:rFonts w:ascii="Arial" w:hAnsi="Arial"/>
        </w:rPr>
        <w:t>Leitfrage: Sind Baal, Hadad, Adad und JHWH eigentlich dieselbe Gottheit unter verschiedenen Namen? Die Antwort lautet: Baal, Hadad und Adad gehoeren sehr wahrscheinlich zu einem breiten altorientalischen Wetter- und Sturmgott-Komplex; hier sind Namens- und Traditionsverschiebungen historisch gut erklaerbar. JHWH ist damit aber nicht einfach identisch. Fuer JHWH ist die belastbare Formulierung: Er uebernimmt im israelitischen Religionsdiskurs Funktionen, Bilder und Polemikfelder des Wetter- und Kriegsgoettlichen, besonders von Baal/Hadad. Das ist starke Motiv- und Funktionsuebernahme, aber keine direkte Identitaet.</w:t>
      </w:r>
      <w:r>
        <w:footnoteReference w:id="35"/>
      </w:r>
    </w:p>
    <w:p>
      <w:pPr>
        <w:pStyle w:val="Heading2"/>
      </w:pPr>
      <w:r>
        <w:t>1. Ergebnis in Kurzform</w:t>
      </w:r>
    </w:p>
    <w:p>
      <w:pPr>
        <w:pStyle w:val="ListBullet"/>
      </w:pPr>
      <w:r>
        <w:rPr>
          <w:rFonts w:ascii="Arial" w:hAnsi="Arial"/>
        </w:rPr>
        <w:t>Baal ist zunaechst ein Titel: 'Herr'. In Ugarit meint Baal meist Baal/Hadad, den Wetter-, Sturm-, Fruchtbarkeits- und Kriegsgott.</w:t>
      </w:r>
    </w:p>
    <w:p>
      <w:pPr>
        <w:pStyle w:val="ListBullet"/>
      </w:pPr>
      <w:r>
        <w:rPr>
          <w:rFonts w:ascii="Arial" w:hAnsi="Arial"/>
        </w:rPr>
        <w:t>Hadad/Adad/Ishkur gehoeren in Westsemitisch-Mesopotamien zu einem verwandten Sturmgott-Komplex; hier sind Gleichsetzungen und synkretistische Identifikationen gut belegt.</w:t>
      </w:r>
    </w:p>
    <w:p>
      <w:pPr>
        <w:pStyle w:val="ListBullet"/>
      </w:pPr>
      <w:r>
        <w:rPr>
          <w:rFonts w:ascii="Arial" w:hAnsi="Arial"/>
        </w:rPr>
        <w:t>JHWH uebernimmt Baal/Hadad-Motive: Wolkenfahrt, Donnerstimme, Sturmtheophanie, Regenmacht, Kampf gegen Meer/Chaos, Sieg ueber Drachenwesen und Koenigsherrschaft.</w:t>
      </w:r>
    </w:p>
    <w:p>
      <w:pPr>
        <w:pStyle w:val="ListBullet"/>
      </w:pPr>
      <w:r>
        <w:rPr>
          <w:rFonts w:ascii="Arial" w:hAnsi="Arial"/>
        </w:rPr>
        <w:t>Psalm 29 ist ein Schluesseltext, weil er JHWH in einer Sprache darstellt, die seit langem mit ugaritisch-kanaanäischer Sturmgotttradition verglichen wird.</w:t>
      </w:r>
    </w:p>
    <w:p>
      <w:pPr>
        <w:pStyle w:val="ListBullet"/>
      </w:pPr>
      <w:r>
        <w:rPr>
          <w:rFonts w:ascii="Arial" w:hAnsi="Arial"/>
        </w:rPr>
        <w:t>Die biblische Polemik gegen Baal zeigt keine blosse Fremdheit, sondern Konkurrenznaehe: Gerade weil JHWH und Baal aehnliche Funktionsfelder besetzen, muss die Bibel ihre Zustaendigkeit scharf unterscheiden.</w:t>
      </w:r>
    </w:p>
    <w:p>
      <w:pPr>
        <w:pStyle w:val="ListBullet"/>
      </w:pPr>
      <w:r>
        <w:rPr>
          <w:rFonts w:ascii="Arial" w:hAnsi="Arial"/>
        </w:rPr>
        <w:t>Die These 'JHWH = Baal' ist zu hart. Wissenschaftlich tragfaehiger ist: JHWH wird als der Gott dargestellt, der Baals Funktionen beansprucht, ueberbietet und in sich integriert.</w:t>
      </w:r>
    </w:p>
    <w:p>
      <w:pPr>
        <w:pStyle w:val="Heading2"/>
      </w:pPr>
      <w:r>
        <w:t>2. Baal, Hadad und Adad: ein Wettergott-Komplex</w:t>
      </w:r>
    </w:p>
    <w:p>
      <w:r>
        <w:rPr>
          <w:rFonts w:ascii="Arial" w:hAnsi="Arial"/>
        </w:rPr>
        <w:t>Bei Baal/Hadad/Adad ist eine engere Gleichsetzung wesentlich besser begruendbar als bei JHWH. 'Baal' bedeutet 'Herr' und kann als Titel verschiedener Lokalgottheiten fungieren. In den ugaritischen Texten ist Baal jedoch in der Regel der Wetter- und Kriegsgott Hadad/Haddu. Im mesopotamischen Raum entspricht ihm Adad, der mit dem sumerischen Ishkur verbunden wird. ORACC beschreibt Ishkur/Adad als Sturmgott, der seit dem 3. Jahrtausend v. Chr. belegt ist und mit anderen Wettergoettern des Alten Orients gleichgesetzt werden konnte.</w:t>
      </w:r>
      <w:r>
        <w:footnoteReference w:id="36"/>
      </w:r>
    </w:p>
    <w:p>
      <w:r>
        <w:rPr>
          <w:rFonts w:ascii="Arial" w:hAnsi="Arial"/>
        </w:rPr>
        <w:t>Das bedeutet: Baal, Hadad und Adad sind keine zufaellig aehnlichen Figuren. Sie bilden einen religionsgeschichtlichen Wettergott-Komplex, der je nach Sprache, Region und Kultzentrum anders benannt und gewichtet wird. Hier ist die Namenswechsel-These teilweise stark: Fuer Sturmgottheiten gibt es tatsaechlich Uebersetzungen, Gleichsetzungen und regionale Erscheinungsformen.</w:t>
      </w:r>
      <w:r>
        <w:footnoteReference w:id="37"/>
      </w:r>
    </w:p>
    <w:p>
      <w:r>
        <w:rPr>
          <w:rFonts w:ascii="Arial" w:hAnsi="Arial"/>
        </w:rPr>
        <w:t>Gerade der Vergleich mit Adad/Ishkur macht die methodische Grenze deutlich. ORACC fasst Ishkur/Adad als mesopotamischen Sturmgott, dessen semitischer Name Haddu/Hadad mit dem Gewitter verbunden ist und der mit anderen altorientalischen Wettergoettern gleichgesetzt werden konnte. Das ist eine echte Traditions- und Namensbruecke innerhalb verwandter Wettergottheiten. Fuer JHWH fehlt eine solche direkte Namensbruecke zu Baal/Hadad/Adad. Was vorhanden ist, ist die Aufnahme derselben Funktionsfelder: Sturm, Regen, Krieg, Koenigsherrschaft und Chaoskampf.</w:t>
      </w:r>
    </w:p>
    <w:p>
      <w:pPr>
        <w:pStyle w:val="Heading2"/>
      </w:pPr>
      <w:r>
        <w:t>3. Psalm 29 und die Sturmsprache JHWHs</w:t>
      </w:r>
    </w:p>
    <w:p>
      <w:r>
        <w:rPr>
          <w:rFonts w:ascii="Arial" w:hAnsi="Arial"/>
        </w:rPr>
        <w:t>Psalm 29 ist einer der wichtigsten biblischen Texte fuer den Vergleich mit Baal. Der Psalm beschreibt die Stimme JHWHs ueber den Wassern, Donner, zerbrechende Zedern, erschuetterte Berge, Feuerflammen, Wuestenbeben und JHWHs Koenigsherrschaft ueber der Flut. Joanna Toyraanvuori bezeichnet Psalm 29 als wohl den biblischen Text, der am haeufigsten mit Ugarit verglichen wurde, und liest ihn triangulierend mit dem Baal-Zyklus, einem Baal-Hymnus und Sturmgott-Ikonographie.</w:t>
      </w:r>
      <w:r>
        <w:footnoteReference w:id="38"/>
      </w:r>
    </w:p>
    <w:p>
      <w:r>
        <w:rPr>
          <w:rFonts w:ascii="Arial" w:hAnsi="Arial"/>
        </w:rPr>
        <w:t>Fuer die Ausarbeitung heisst das: Psalm 29 belegt nicht, dass JHWH und Baal derselbe Gott sind. Er zeigt aber, dass JHWH in einer poetischen Sturmgott-Sprache gefeiert wird, die im westsemitischen Raum bekannt war. Die spaetere monotheistische Redaktion kann solche Sprache verwenden, weil sie JHWH nicht als einen Wettergott neben anderen zeigen will, sondern als den Gott, dem auch Wetter, Meer, Chaos und Koenigsherrschaft gehoeren.</w:t>
      </w:r>
    </w:p>
    <w:p>
      <w:r>
        <w:br w:type="page"/>
      </w:r>
    </w:p>
    <w:p>
      <w:pPr>
        <w:pStyle w:val="Heading3"/>
      </w:pPr>
      <w:r>
        <w:t>3.1 Motivmatrix: Was wandert von Baal/Hadad zu JHWH?</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Motiv/Funktion</w:t>
            </w:r>
          </w:p>
        </w:tc>
        <w:tc>
          <w:tcPr>
            <w:tcW w:type="dxa" w:w="2500"/>
            <w:vAlign w:val="top"/>
            <w:shd w:fill="F1F3F4"/>
          </w:tcPr>
          <w:p>
            <w:r/>
            <w:r>
              <w:rPr>
                <w:rFonts w:ascii="Arial" w:hAnsi="Arial"/>
                <w:b/>
                <w:sz w:val="16"/>
              </w:rPr>
              <w:t>Baal/Hadad-Befund</w:t>
            </w:r>
          </w:p>
        </w:tc>
        <w:tc>
          <w:tcPr>
            <w:tcW w:type="dxa" w:w="3200"/>
            <w:vAlign w:val="top"/>
            <w:shd w:fill="F1F3F4"/>
          </w:tcPr>
          <w:p>
            <w:r/>
            <w:r>
              <w:rPr>
                <w:rFonts w:ascii="Arial" w:hAnsi="Arial"/>
                <w:b/>
                <w:sz w:val="16"/>
              </w:rPr>
              <w:t>JHWH-Befund</w:t>
            </w:r>
          </w:p>
        </w:tc>
        <w:tc>
          <w:tcPr>
            <w:tcW w:type="dxa" w:w="1500"/>
            <w:vAlign w:val="top"/>
            <w:shd w:fill="F1F3F4"/>
          </w:tcPr>
          <w:p>
            <w:r/>
            <w:r>
              <w:rPr>
                <w:rFonts w:ascii="Arial" w:hAnsi="Arial"/>
                <w:b/>
                <w:sz w:val="16"/>
              </w:rPr>
              <w:t>Bewertung</w:t>
            </w:r>
          </w:p>
        </w:tc>
      </w:tr>
      <w:tr>
        <w:tc>
          <w:tcPr>
            <w:tcW w:type="dxa" w:w="1800"/>
            <w:vAlign w:val="top"/>
          </w:tcPr>
          <w:p>
            <w:r/>
            <w:r>
              <w:rPr>
                <w:rFonts w:ascii="Arial" w:hAnsi="Arial"/>
                <w:b w:val="0"/>
                <w:sz w:val="16"/>
              </w:rPr>
              <w:t>Regen und Fruchtbarkeit</w:t>
            </w:r>
          </w:p>
        </w:tc>
        <w:tc>
          <w:tcPr>
            <w:tcW w:type="dxa" w:w="2500"/>
            <w:vAlign w:val="top"/>
          </w:tcPr>
          <w:p>
            <w:r/>
            <w:r>
              <w:rPr>
                <w:rFonts w:ascii="Arial" w:hAnsi="Arial"/>
                <w:b w:val="0"/>
                <w:sz w:val="16"/>
              </w:rPr>
              <w:t>Baal/Hadad ist im kanaanaeischen Agrarraum fuer Regen, Gewitter und Ernte zentral.</w:t>
            </w:r>
          </w:p>
        </w:tc>
        <w:tc>
          <w:tcPr>
            <w:tcW w:type="dxa" w:w="3200"/>
            <w:vAlign w:val="top"/>
          </w:tcPr>
          <w:p>
            <w:r/>
            <w:r>
              <w:rPr>
                <w:rFonts w:ascii="Arial" w:hAnsi="Arial"/>
                <w:b w:val="0"/>
                <w:sz w:val="16"/>
              </w:rPr>
              <w:t>JHWH wird in biblischer Polemik als der eigentliche Geber von Regen, Korn, Wein und Oel dargestellt.</w:t>
            </w:r>
          </w:p>
        </w:tc>
        <w:tc>
          <w:tcPr>
            <w:tcW w:type="dxa" w:w="1500"/>
            <w:vAlign w:val="top"/>
          </w:tcPr>
          <w:p>
            <w:r/>
            <w:r>
              <w:rPr>
                <w:rFonts w:ascii="Arial" w:hAnsi="Arial"/>
                <w:b w:val="0"/>
                <w:sz w:val="16"/>
              </w:rPr>
              <w:t>Starke Funktionsuebernahme; keine Identitaetsgleichung.</w:t>
            </w:r>
          </w:p>
        </w:tc>
      </w:tr>
      <w:tr>
        <w:tc>
          <w:tcPr>
            <w:tcW w:type="dxa" w:w="1800"/>
            <w:vAlign w:val="top"/>
          </w:tcPr>
          <w:p>
            <w:r/>
            <w:r>
              <w:rPr>
                <w:rFonts w:ascii="Arial" w:hAnsi="Arial"/>
                <w:b w:val="0"/>
                <w:sz w:val="16"/>
              </w:rPr>
              <w:t>Donner und Stimme</w:t>
            </w:r>
          </w:p>
        </w:tc>
        <w:tc>
          <w:tcPr>
            <w:tcW w:type="dxa" w:w="2500"/>
            <w:vAlign w:val="top"/>
          </w:tcPr>
          <w:p>
            <w:r/>
            <w:r>
              <w:rPr>
                <w:rFonts w:ascii="Arial" w:hAnsi="Arial"/>
                <w:b w:val="0"/>
                <w:sz w:val="16"/>
              </w:rPr>
              <w:t>Der Wettergott spricht im Donner; Adad/Ishkur ist mit Sturm, Wind und Roeren verbunden.</w:t>
            </w:r>
          </w:p>
        </w:tc>
        <w:tc>
          <w:tcPr>
            <w:tcW w:type="dxa" w:w="3200"/>
            <w:vAlign w:val="top"/>
          </w:tcPr>
          <w:p>
            <w:r/>
            <w:r>
              <w:rPr>
                <w:rFonts w:ascii="Arial" w:hAnsi="Arial"/>
                <w:b w:val="0"/>
                <w:sz w:val="16"/>
              </w:rPr>
              <w:t>Psalm 29 entfaltet die siebenfache 'Stimme JHWHs' als Gewitter- und Machttheophanie.</w:t>
            </w:r>
          </w:p>
        </w:tc>
        <w:tc>
          <w:tcPr>
            <w:tcW w:type="dxa" w:w="1500"/>
            <w:vAlign w:val="top"/>
          </w:tcPr>
          <w:p>
            <w:r/>
            <w:r>
              <w:rPr>
                <w:rFonts w:ascii="Arial" w:hAnsi="Arial"/>
                <w:b w:val="0"/>
                <w:sz w:val="16"/>
              </w:rPr>
              <w:t>Geteiltes Motivfeld; Psalm 29 ist Schluesseltext.</w:t>
            </w:r>
          </w:p>
        </w:tc>
      </w:tr>
      <w:tr>
        <w:tc>
          <w:tcPr>
            <w:tcW w:type="dxa" w:w="1800"/>
            <w:vAlign w:val="top"/>
          </w:tcPr>
          <w:p>
            <w:r/>
            <w:r>
              <w:rPr>
                <w:rFonts w:ascii="Arial" w:hAnsi="Arial"/>
                <w:b w:val="0"/>
                <w:sz w:val="16"/>
              </w:rPr>
              <w:t>Wolkenfahrt</w:t>
            </w:r>
          </w:p>
        </w:tc>
        <w:tc>
          <w:tcPr>
            <w:tcW w:type="dxa" w:w="2500"/>
            <w:vAlign w:val="top"/>
          </w:tcPr>
          <w:p>
            <w:r/>
            <w:r>
              <w:rPr>
                <w:rFonts w:ascii="Arial" w:hAnsi="Arial"/>
                <w:b w:val="0"/>
                <w:sz w:val="16"/>
              </w:rPr>
              <w:t>Baal ist im Ugarit-Kontext als Wolkenfahrer bekannt.</w:t>
            </w:r>
          </w:p>
        </w:tc>
        <w:tc>
          <w:tcPr>
            <w:tcW w:type="dxa" w:w="3200"/>
            <w:vAlign w:val="top"/>
          </w:tcPr>
          <w:p>
            <w:r/>
            <w:r>
              <w:rPr>
                <w:rFonts w:ascii="Arial" w:hAnsi="Arial"/>
                <w:b w:val="0"/>
                <w:sz w:val="16"/>
              </w:rPr>
              <w:t>JHWH erscheint in Poesie und Theophanie als derjenige, der auf Wolken, Sturm oder Himmelsmacht kommt.</w:t>
            </w:r>
          </w:p>
        </w:tc>
        <w:tc>
          <w:tcPr>
            <w:tcW w:type="dxa" w:w="1500"/>
            <w:vAlign w:val="top"/>
          </w:tcPr>
          <w:p>
            <w:r/>
            <w:r>
              <w:rPr>
                <w:rFonts w:ascii="Arial" w:hAnsi="Arial"/>
                <w:b w:val="0"/>
                <w:sz w:val="16"/>
              </w:rPr>
              <w:t>Sehr starke Bildnaehe; besser als Uebernahme/Profilierung lesen.</w:t>
            </w:r>
          </w:p>
        </w:tc>
      </w:tr>
      <w:tr>
        <w:tc>
          <w:tcPr>
            <w:tcW w:type="dxa" w:w="1800"/>
            <w:vAlign w:val="top"/>
          </w:tcPr>
          <w:p>
            <w:r/>
            <w:r>
              <w:rPr>
                <w:rFonts w:ascii="Arial" w:hAnsi="Arial"/>
                <w:b w:val="0"/>
                <w:sz w:val="16"/>
              </w:rPr>
              <w:t>Krieg und Koenigsherrschaft</w:t>
            </w:r>
          </w:p>
        </w:tc>
        <w:tc>
          <w:tcPr>
            <w:tcW w:type="dxa" w:w="2500"/>
            <w:vAlign w:val="top"/>
          </w:tcPr>
          <w:p>
            <w:r/>
            <w:r>
              <w:rPr>
                <w:rFonts w:ascii="Arial" w:hAnsi="Arial"/>
                <w:b w:val="0"/>
                <w:sz w:val="16"/>
              </w:rPr>
              <w:t>Baal ringt um Anerkennung, Palast und Herrschaft.</w:t>
            </w:r>
          </w:p>
        </w:tc>
        <w:tc>
          <w:tcPr>
            <w:tcW w:type="dxa" w:w="3200"/>
            <w:vAlign w:val="top"/>
          </w:tcPr>
          <w:p>
            <w:r/>
            <w:r>
              <w:rPr>
                <w:rFonts w:ascii="Arial" w:hAnsi="Arial"/>
                <w:b w:val="0"/>
                <w:sz w:val="16"/>
              </w:rPr>
              <w:t>JHWH wird als goettlicher Krieger und Koenig Israels/universaler Koenig profiliert.</w:t>
            </w:r>
          </w:p>
        </w:tc>
        <w:tc>
          <w:tcPr>
            <w:tcW w:type="dxa" w:w="1500"/>
            <w:vAlign w:val="top"/>
          </w:tcPr>
          <w:p>
            <w:r/>
            <w:r>
              <w:rPr>
                <w:rFonts w:ascii="Arial" w:hAnsi="Arial"/>
                <w:b w:val="0"/>
                <w:sz w:val="16"/>
              </w:rPr>
              <w:t>Herrschaftssprache wird auf JHWH konzentriert.</w:t>
            </w:r>
          </w:p>
        </w:tc>
      </w:tr>
      <w:tr>
        <w:tc>
          <w:tcPr>
            <w:tcW w:type="dxa" w:w="1800"/>
            <w:vAlign w:val="top"/>
          </w:tcPr>
          <w:p>
            <w:r/>
            <w:r>
              <w:rPr>
                <w:rFonts w:ascii="Arial" w:hAnsi="Arial"/>
                <w:b w:val="0"/>
                <w:sz w:val="16"/>
              </w:rPr>
              <w:t>Meer/Chaoskampf</w:t>
            </w:r>
          </w:p>
        </w:tc>
        <w:tc>
          <w:tcPr>
            <w:tcW w:type="dxa" w:w="2500"/>
            <w:vAlign w:val="top"/>
          </w:tcPr>
          <w:p>
            <w:r/>
            <w:r>
              <w:rPr>
                <w:rFonts w:ascii="Arial" w:hAnsi="Arial"/>
                <w:b w:val="0"/>
                <w:sz w:val="16"/>
              </w:rPr>
              <w:t>Baal steht Yam/Meer und weiteren Chaos-/Todesmaechten gegenueber.</w:t>
            </w:r>
          </w:p>
        </w:tc>
        <w:tc>
          <w:tcPr>
            <w:tcW w:type="dxa" w:w="3200"/>
            <w:vAlign w:val="top"/>
          </w:tcPr>
          <w:p>
            <w:r/>
            <w:r>
              <w:rPr>
                <w:rFonts w:ascii="Arial" w:hAnsi="Arial"/>
                <w:b w:val="0"/>
                <w:sz w:val="16"/>
              </w:rPr>
              <w:t>JHWH besiegt Meer, Rahab, Leviathan und Drachenwesen in biblischen Poesietexten.</w:t>
            </w:r>
          </w:p>
        </w:tc>
        <w:tc>
          <w:tcPr>
            <w:tcW w:type="dxa" w:w="1500"/>
            <w:vAlign w:val="top"/>
          </w:tcPr>
          <w:p>
            <w:r/>
            <w:r>
              <w:rPr>
                <w:rFonts w:ascii="Arial" w:hAnsi="Arial"/>
                <w:b w:val="0"/>
                <w:sz w:val="16"/>
              </w:rPr>
              <w:t>Mythische Kampftradition wird JHWH zugeschrieben.</w:t>
            </w:r>
          </w:p>
        </w:tc>
      </w:tr>
      <w:tr>
        <w:tc>
          <w:tcPr>
            <w:tcW w:type="dxa" w:w="1800"/>
            <w:vAlign w:val="top"/>
          </w:tcPr>
          <w:p>
            <w:r/>
            <w:r>
              <w:rPr>
                <w:rFonts w:ascii="Arial" w:hAnsi="Arial"/>
                <w:b w:val="0"/>
                <w:sz w:val="16"/>
              </w:rPr>
              <w:t>Palast/Tempel</w:t>
            </w:r>
          </w:p>
        </w:tc>
        <w:tc>
          <w:tcPr>
            <w:tcW w:type="dxa" w:w="2500"/>
            <w:vAlign w:val="top"/>
          </w:tcPr>
          <w:p>
            <w:r/>
            <w:r>
              <w:rPr>
                <w:rFonts w:ascii="Arial" w:hAnsi="Arial"/>
                <w:b w:val="0"/>
                <w:sz w:val="16"/>
              </w:rPr>
              <w:t>Baals Palast markiert Anerkennung seiner goettlichen Herrschaft.</w:t>
            </w:r>
          </w:p>
        </w:tc>
        <w:tc>
          <w:tcPr>
            <w:tcW w:type="dxa" w:w="3200"/>
            <w:vAlign w:val="top"/>
          </w:tcPr>
          <w:p>
            <w:r/>
            <w:r>
              <w:rPr>
                <w:rFonts w:ascii="Arial" w:hAnsi="Arial"/>
                <w:b w:val="0"/>
                <w:sz w:val="16"/>
              </w:rPr>
              <w:t>JHWHs Tempel, Zion- und Koenigsmotive markieren seine legitime Herrschaft.</w:t>
            </w:r>
          </w:p>
        </w:tc>
        <w:tc>
          <w:tcPr>
            <w:tcW w:type="dxa" w:w="1500"/>
            <w:vAlign w:val="top"/>
          </w:tcPr>
          <w:p>
            <w:r/>
            <w:r>
              <w:rPr>
                <w:rFonts w:ascii="Arial" w:hAnsi="Arial"/>
                <w:b w:val="0"/>
                <w:sz w:val="16"/>
              </w:rPr>
              <w:t>Strukturelle Parallele; kein Beweis fuer gleiche Gottheit.</w:t>
            </w:r>
          </w:p>
        </w:tc>
      </w:tr>
    </w:tbl>
    <w:p>
      <w:r>
        <w:rPr>
          <w:rFonts w:ascii="Arial" w:hAnsi="Arial"/>
        </w:rPr>
        <w:t>Diese Matrix ist fuer die Hauptthese wichtiger als eine Ja/Nein-Gleichung. Sie zeigt: Es gibt eine auffaellige Motivnaehe, aber die Richtung der biblischen Ausarbeitung ist nicht 'Baal bleibt Baal unter dem Namen JHWH', sondern 'JHWH beansprucht Felder, die im kanaanaeischen Umfeld Baal gehoerten'. Genau dadurch wird Baal vom nahen Funktionsnachbarn zum theologischen Gegner.</w:t>
      </w:r>
    </w:p>
    <w:p>
      <w:pPr>
        <w:pStyle w:val="Heading2"/>
      </w:pPr>
      <w:r>
        <w:t>4. Chaoskampf, Meer und Drachenwesen</w:t>
      </w:r>
    </w:p>
    <w:p>
      <w:r>
        <w:rPr>
          <w:rFonts w:ascii="Arial" w:hAnsi="Arial"/>
        </w:rPr>
        <w:t>Im Baal-Zyklus kaempft Baal gegen Yam, das Meer, und steht in Beziehung zu Mot, dem Tod. Weitere westsemitische Traditionen kennen Drachen- und Schlangenwesen wie Litan/Leviathan. In der Bibel erscheinen aehnliche Motive, aber auf JHWH konzentriert: JHWH zerschlaegt Meer und Drachen, besiegt Leviathan, bringt Ordnung gegen Chaos und erscheint als goettlicher Krieger.</w:t>
      </w:r>
      <w:r>
        <w:footnoteReference w:id="39"/>
      </w:r>
    </w:p>
    <w:p>
      <w:r>
        <w:rPr>
          <w:rFonts w:ascii="Arial" w:hAnsi="Arial"/>
        </w:rPr>
        <w:t>Diese Motivwanderung ist fuer die 'Clash of the Gods'-Frage wichtig. Es gibt in den Texten alte Goetterkampf- und Chaoskampftraditionen. Sie belegen aber nicht automatisch einen historischen Kampf realer Gottwesen. Wissenschaftlich sauber ist: Mythische Kampfmotive wurden auf JHWH uebertragen und dienten dazu, seine Ueberlegenheit ueber Konkurrenzgoetter, Naturmaechte und politische Feinde auszudruecken.</w:t>
      </w:r>
    </w:p>
    <w:p>
      <w:pPr>
        <w:pStyle w:val="Heading2"/>
      </w:pPr>
      <w:r>
        <w:t>5. Baal als Konkurrenz, nicht nur Fremdgott</w:t>
      </w:r>
    </w:p>
    <w:p>
      <w:r>
        <w:rPr>
          <w:rFonts w:ascii="Arial" w:hAnsi="Arial"/>
        </w:rPr>
        <w:t>Die biblische Baal-Polemik ist deshalb so hart, weil Baal im agrarischen Kanaan ein sehr naheliegender Gott war: Regen, Sturm, Fruchtbarkeit und Ernte waren existentiell. Fred Woods beschreibt, wie deuteronomistische Texte die Frage zuspitzen: Wer kontrolliert Wasser, Regen und Wohlstand, Baal oder JHWH? Die Antwort der biblischen Theologie lautet: JHWH, nicht Baal.</w:t>
      </w:r>
      <w:r>
        <w:footnoteReference w:id="40"/>
      </w:r>
    </w:p>
    <w:p>
      <w:r>
        <w:rPr>
          <w:rFonts w:ascii="Arial" w:hAnsi="Arial"/>
        </w:rPr>
        <w:t>Michael J. Stahl geht noch weiter und rekonstruiert fuer das Nordreich Israel eine Situation, in der JHWH im 9. Jahrhundert v. Chr. unter den Omriden bewusst mit Baal-Sprache, Baal-Bildern und Baal-Traditionen profiliert worden sein koennte. Danach waere die spaetere polemische Erzaehlung von den Omriden als Baalverehrern auch ein nachtraeglicher Versuch, eine fruehere Naehe zwischen JHWH und Baal theologisch zu zerlegen.</w:t>
      </w:r>
      <w:r>
        <w:footnoteReference w:id="41"/>
      </w:r>
    </w:p>
    <w:p>
      <w:r>
        <w:br w:type="page"/>
      </w:r>
    </w:p>
    <w:p>
      <w:pPr>
        <w:pStyle w:val="Heading2"/>
      </w:pPr>
      <w:r>
        <w:t>6. Bewertungsmatrix: Identitaet oder Funktionsuebernahme?</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These</w:t>
            </w:r>
          </w:p>
        </w:tc>
        <w:tc>
          <w:tcPr>
            <w:tcW w:type="dxa" w:w="2500"/>
            <w:vAlign w:val="top"/>
            <w:shd w:fill="F1F3F4"/>
          </w:tcPr>
          <w:p>
            <w:r/>
            <w:r>
              <w:rPr>
                <w:rFonts w:ascii="Arial" w:hAnsi="Arial"/>
                <w:b/>
                <w:sz w:val="16"/>
              </w:rPr>
              <w:t>Bewertung</w:t>
            </w:r>
          </w:p>
        </w:tc>
        <w:tc>
          <w:tcPr>
            <w:tcW w:type="dxa" w:w="3200"/>
            <w:vAlign w:val="top"/>
            <w:shd w:fill="F1F3F4"/>
          </w:tcPr>
          <w:p>
            <w:r/>
            <w:r>
              <w:rPr>
                <w:rFonts w:ascii="Arial" w:hAnsi="Arial"/>
                <w:b/>
                <w:sz w:val="16"/>
              </w:rPr>
              <w:t>Begruendung</w:t>
            </w:r>
          </w:p>
        </w:tc>
        <w:tc>
          <w:tcPr>
            <w:tcW w:type="dxa" w:w="1500"/>
            <w:vAlign w:val="top"/>
            <w:shd w:fill="F1F3F4"/>
          </w:tcPr>
          <w:p>
            <w:r/>
            <w:r>
              <w:rPr>
                <w:rFonts w:ascii="Arial" w:hAnsi="Arial"/>
                <w:b/>
                <w:sz w:val="16"/>
              </w:rPr>
              <w:t>Arbeitsregel</w:t>
            </w:r>
          </w:p>
        </w:tc>
      </w:tr>
      <w:tr>
        <w:tc>
          <w:tcPr>
            <w:tcW w:type="dxa" w:w="1800"/>
            <w:vAlign w:val="top"/>
          </w:tcPr>
          <w:p>
            <w:r/>
            <w:r>
              <w:rPr>
                <w:rFonts w:ascii="Arial" w:hAnsi="Arial"/>
                <w:b w:val="0"/>
                <w:sz w:val="16"/>
              </w:rPr>
              <w:t>Baal = Hadad</w:t>
            </w:r>
          </w:p>
        </w:tc>
        <w:tc>
          <w:tcPr>
            <w:tcW w:type="dxa" w:w="2500"/>
            <w:vAlign w:val="top"/>
          </w:tcPr>
          <w:p>
            <w:r/>
            <w:r>
              <w:rPr>
                <w:rFonts w:ascii="Arial" w:hAnsi="Arial"/>
                <w:b w:val="0"/>
                <w:sz w:val="16"/>
              </w:rPr>
              <w:t>Sehr plausibel</w:t>
            </w:r>
          </w:p>
        </w:tc>
        <w:tc>
          <w:tcPr>
            <w:tcW w:type="dxa" w:w="3200"/>
            <w:vAlign w:val="top"/>
          </w:tcPr>
          <w:p>
            <w:r/>
            <w:r>
              <w:rPr>
                <w:rFonts w:ascii="Arial" w:hAnsi="Arial"/>
                <w:b w:val="0"/>
                <w:sz w:val="16"/>
              </w:rPr>
              <w:t>Ugaritischer Baal ist in der Regel der Wettergott Hadad/Haddu.</w:t>
            </w:r>
          </w:p>
        </w:tc>
        <w:tc>
          <w:tcPr>
            <w:tcW w:type="dxa" w:w="1500"/>
            <w:vAlign w:val="top"/>
          </w:tcPr>
          <w:p>
            <w:r/>
            <w:r>
              <w:rPr>
                <w:rFonts w:ascii="Arial" w:hAnsi="Arial"/>
                <w:b w:val="0"/>
                <w:sz w:val="16"/>
              </w:rPr>
              <w:t>Als Namens-/Titelidentifikation gut tragfaehig.</w:t>
            </w:r>
          </w:p>
        </w:tc>
      </w:tr>
      <w:tr>
        <w:tc>
          <w:tcPr>
            <w:tcW w:type="dxa" w:w="1800"/>
            <w:vAlign w:val="top"/>
          </w:tcPr>
          <w:p>
            <w:r/>
            <w:r>
              <w:rPr>
                <w:rFonts w:ascii="Arial" w:hAnsi="Arial"/>
                <w:b w:val="0"/>
                <w:sz w:val="16"/>
              </w:rPr>
              <w:t>Hadad = Adad/Ishkur</w:t>
            </w:r>
          </w:p>
        </w:tc>
        <w:tc>
          <w:tcPr>
            <w:tcW w:type="dxa" w:w="2500"/>
            <w:vAlign w:val="top"/>
          </w:tcPr>
          <w:p>
            <w:r/>
            <w:r>
              <w:rPr>
                <w:rFonts w:ascii="Arial" w:hAnsi="Arial"/>
                <w:b w:val="0"/>
                <w:sz w:val="16"/>
              </w:rPr>
              <w:t>Plausibel bis gut belegt</w:t>
            </w:r>
          </w:p>
        </w:tc>
        <w:tc>
          <w:tcPr>
            <w:tcW w:type="dxa" w:w="3200"/>
            <w:vAlign w:val="top"/>
          </w:tcPr>
          <w:p>
            <w:r/>
            <w:r>
              <w:rPr>
                <w:rFonts w:ascii="Arial" w:hAnsi="Arial"/>
                <w:b w:val="0"/>
                <w:sz w:val="16"/>
              </w:rPr>
              <w:t>Mesopotamische und westsemitische Sturmgotttraditionen werden synkretistisch verbunden.</w:t>
            </w:r>
          </w:p>
        </w:tc>
        <w:tc>
          <w:tcPr>
            <w:tcW w:type="dxa" w:w="1500"/>
            <w:vAlign w:val="top"/>
          </w:tcPr>
          <w:p>
            <w:r/>
            <w:r>
              <w:rPr>
                <w:rFonts w:ascii="Arial" w:hAnsi="Arial"/>
                <w:b w:val="0"/>
                <w:sz w:val="16"/>
              </w:rPr>
              <w:t>Regionale Unterschiede bleiben zu beachten.</w:t>
            </w:r>
          </w:p>
        </w:tc>
      </w:tr>
      <w:tr>
        <w:tc>
          <w:tcPr>
            <w:tcW w:type="dxa" w:w="1800"/>
            <w:vAlign w:val="top"/>
          </w:tcPr>
          <w:p>
            <w:r/>
            <w:r>
              <w:rPr>
                <w:rFonts w:ascii="Arial" w:hAnsi="Arial"/>
                <w:b w:val="0"/>
                <w:sz w:val="16"/>
              </w:rPr>
              <w:t>JHWH = Baal</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Geteilte Motive: Sturm, Donner, Wolkenfahrt, Regen, Kampf gegen Meer/Chaos.</w:t>
            </w:r>
          </w:p>
        </w:tc>
        <w:tc>
          <w:tcPr>
            <w:tcW w:type="dxa" w:w="1500"/>
            <w:vAlign w:val="top"/>
          </w:tcPr>
          <w:p>
            <w:r/>
            <w:r>
              <w:rPr>
                <w:rFonts w:ascii="Arial" w:hAnsi="Arial"/>
                <w:b w:val="0"/>
                <w:sz w:val="16"/>
              </w:rPr>
              <w:t>Besser: Konkurrenz, Aneignung und Ueberbietung.</w:t>
            </w:r>
          </w:p>
        </w:tc>
      </w:tr>
      <w:tr>
        <w:tc>
          <w:tcPr>
            <w:tcW w:type="dxa" w:w="1800"/>
            <w:vAlign w:val="top"/>
          </w:tcPr>
          <w:p>
            <w:r/>
            <w:r>
              <w:rPr>
                <w:rFonts w:ascii="Arial" w:hAnsi="Arial"/>
                <w:b w:val="0"/>
                <w:sz w:val="16"/>
              </w:rPr>
              <w:t>JHWH uebernimmt Baal-Funktionen</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Psalm 29, Wolkenfahrer-Motiv, Wasser-/Regenpolemik und Chaoskampftexte.</w:t>
            </w:r>
          </w:p>
        </w:tc>
        <w:tc>
          <w:tcPr>
            <w:tcW w:type="dxa" w:w="1500"/>
            <w:vAlign w:val="top"/>
          </w:tcPr>
          <w:p>
            <w:r/>
            <w:r>
              <w:rPr>
                <w:rFonts w:ascii="Arial" w:hAnsi="Arial"/>
                <w:b w:val="0"/>
                <w:sz w:val="16"/>
              </w:rPr>
              <w:t>Zentral fuer das Modell.</w:t>
            </w:r>
          </w:p>
        </w:tc>
      </w:tr>
      <w:tr>
        <w:tc>
          <w:tcPr>
            <w:tcW w:type="dxa" w:w="1800"/>
            <w:vAlign w:val="top"/>
          </w:tcPr>
          <w:p>
            <w:r/>
            <w:r>
              <w:rPr>
                <w:rFonts w:ascii="Arial" w:hAnsi="Arial"/>
                <w:b w:val="0"/>
                <w:sz w:val="16"/>
              </w:rPr>
              <w:t>Baal wird demonisiert oder delegitimiert</w:t>
            </w:r>
          </w:p>
        </w:tc>
        <w:tc>
          <w:tcPr>
            <w:tcW w:type="dxa" w:w="2500"/>
            <w:vAlign w:val="top"/>
          </w:tcPr>
          <w:p>
            <w:r/>
            <w:r>
              <w:rPr>
                <w:rFonts w:ascii="Arial" w:hAnsi="Arial"/>
                <w:b w:val="0"/>
                <w:sz w:val="16"/>
              </w:rPr>
              <w:t>Plausibel</w:t>
            </w:r>
          </w:p>
        </w:tc>
        <w:tc>
          <w:tcPr>
            <w:tcW w:type="dxa" w:w="3200"/>
            <w:vAlign w:val="top"/>
          </w:tcPr>
          <w:p>
            <w:r/>
            <w:r>
              <w:rPr>
                <w:rFonts w:ascii="Arial" w:hAnsi="Arial"/>
                <w:b w:val="0"/>
                <w:sz w:val="16"/>
              </w:rPr>
              <w:t>Prophetische und deuteronomistische Polemik bekaempft Baal als Rivalen.</w:t>
            </w:r>
          </w:p>
        </w:tc>
        <w:tc>
          <w:tcPr>
            <w:tcW w:type="dxa" w:w="1500"/>
            <w:vAlign w:val="top"/>
          </w:tcPr>
          <w:p>
            <w:r/>
            <w:r>
              <w:rPr>
                <w:rFonts w:ascii="Arial" w:hAnsi="Arial"/>
                <w:b w:val="0"/>
                <w:sz w:val="16"/>
              </w:rPr>
              <w:t>Nicht jeder Baal-Bezug ist automatisch derselbe Kult.</w:t>
            </w:r>
          </w:p>
        </w:tc>
      </w:tr>
      <w:tr>
        <w:tc>
          <w:tcPr>
            <w:tcW w:type="dxa" w:w="1800"/>
            <w:vAlign w:val="top"/>
          </w:tcPr>
          <w:p>
            <w:r/>
            <w:r>
              <w:rPr>
                <w:rFonts w:ascii="Arial" w:hAnsi="Arial"/>
                <w:b w:val="0"/>
                <w:sz w:val="16"/>
              </w:rPr>
              <w:t>Ein realer Goetterkrieg ist belegt</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Mythische Kampfmotive existieren.</w:t>
            </w:r>
          </w:p>
        </w:tc>
        <w:tc>
          <w:tcPr>
            <w:tcW w:type="dxa" w:w="1500"/>
            <w:vAlign w:val="top"/>
          </w:tcPr>
          <w:p>
            <w:r/>
            <w:r>
              <w:rPr>
                <w:rFonts w:ascii="Arial" w:hAnsi="Arial"/>
                <w:b w:val="0"/>
                <w:sz w:val="16"/>
              </w:rPr>
              <w:t>Als historischer Ereignisbeweis spekulativ.</w:t>
            </w:r>
          </w:p>
        </w:tc>
      </w:tr>
    </w:tbl>
    <w:p>
      <w:pPr>
        <w:pStyle w:val="Heading2"/>
      </w:pPr>
      <w:r>
        <w:t>7. Bedeutung fuer die Hauptthese</w:t>
      </w:r>
    </w:p>
    <w:p>
      <w:r>
        <w:rPr>
          <w:rFonts w:ascii="Arial" w:hAnsi="Arial"/>
        </w:rPr>
        <w:t>Dieses Kapitel staerkt die Grundfrage nach gleichen Mustern unter verschiedenen Namen, aber es zwingt zur Praezisierung. Bei Baal/Hadad/Adad kann man tatsaechlich von einem verwandten Wettergott-Komplex sprechen. Bei JHWH ist die Lage anders: JHWH wird nicht einfach als Baal weitergefuehrt, sondern als Gott Israels so profiliert, dass er Baals alte Funktionsfelder uebernimmt und Baal zugleich als illegitimen Rivalen entwertet.</w:t>
      </w:r>
      <w:r>
        <w:footnoteReference w:id="42"/>
      </w:r>
    </w:p>
    <w:p>
      <w:r>
        <w:rPr>
          <w:rFonts w:ascii="Arial" w:hAnsi="Arial"/>
        </w:rPr>
        <w:t>Damit wird die Leitthese tragfaehiger: Nicht 'alle Goetter sind derselbe Gott', sondern 'im Lauf der Religionsgeschichte werden Namen, Titel, Funktionen und Machtbilder verschoben; JHWH wird mit El identifiziert und absorbiert Funktionen von Baal/Hadad, waehrend andere goettliche Wesen untergeordnet, delegitimiert oder literarisch umgedeutet werden.'</w:t>
      </w:r>
    </w:p>
    <w:p>
      <w:pPr>
        <w:pStyle w:val="Heading3"/>
      </w:pPr>
      <w:r>
        <w:t>7.1 Antwort auf die konkrete Gleichsetzungsfrage</w:t>
      </w:r>
    </w:p>
    <w:p>
      <w:pPr>
        <w:pStyle w:val="ListBullet"/>
      </w:pPr>
      <w:r>
        <w:rPr>
          <w:rFonts w:ascii="Arial" w:hAnsi="Arial"/>
        </w:rPr>
        <w:t>Baal/Hadad/Adad: Als Wettergott-Komplex weitgehend plausibel, weil Sprache, Funktion, Ikonographie und antike Gleichsetzungen zusammenpassen.</w:t>
      </w:r>
    </w:p>
    <w:p>
      <w:pPr>
        <w:pStyle w:val="ListBullet"/>
      </w:pPr>
      <w:r>
        <w:rPr>
          <w:rFonts w:ascii="Arial" w:hAnsi="Arial"/>
        </w:rPr>
        <w:t>JHWH und Baal/Hadad: Nicht als dieselbe Gottheit belegbar, aber als enges Konkurrenz- und Uebernahmefeld sehr stark.</w:t>
      </w:r>
    </w:p>
    <w:p>
      <w:pPr>
        <w:pStyle w:val="ListBullet"/>
      </w:pPr>
      <w:r>
        <w:rPr>
          <w:rFonts w:ascii="Arial" w:hAnsi="Arial"/>
        </w:rPr>
        <w:t>JHWH und Adad/Ishkur: Keine direkte Identitaet; der Vergleich zeigt nur, dass Sturmgottmotive im Alten Orient breit zirkulierten.</w:t>
      </w:r>
    </w:p>
    <w:p>
      <w:pPr>
        <w:pStyle w:val="ListBullet"/>
      </w:pPr>
      <w:r>
        <w:rPr>
          <w:rFonts w:ascii="Arial" w:hAnsi="Arial"/>
        </w:rPr>
        <w:t>Marduk und Baal/JHWH: Marduk teilt Koenigs-, Kriegs- und Chaoskampfmotive, ist aber ein anderer mesopotamischer Traditionskomplex.</w:t>
      </w:r>
    </w:p>
    <w:p>
      <w:pPr>
        <w:pStyle w:val="ListBullet"/>
      </w:pPr>
      <w:r>
        <w:rPr>
          <w:rFonts w:ascii="Arial" w:hAnsi="Arial"/>
        </w:rPr>
        <w:t>Clash-of-the-Gods-These: Als literarisch-mythisches Motiv gut anschlussfaehig; als historisches Ereignis realer Gottwesen nicht belegbar.</w:t>
      </w:r>
    </w:p>
    <w:p>
      <w:pPr>
        <w:pStyle w:val="Heading2"/>
      </w:pPr>
      <w:r>
        <w:t>8. Ergebnis und Kapitelstatus</w:t>
      </w:r>
    </w:p>
    <w:p>
      <w:r>
        <w:rPr>
          <w:rFonts w:ascii="Arial" w:hAnsi="Arial"/>
        </w:rPr>
        <w:t>Kapitel 5 liegt als druckreife Lesefassung V1 vor. Ergebnis: Baal/Hadad/Adad bilden einen eng verwandten altorientalischen Sturmgott-Komplex. JHWH steht zu diesem Komplex in Konkurrenz und Naehe, aber nicht in einfacher Identitaet. Die wichtigsten Belege sind Psalm 29, Wasser- und Regenpolemik, Wolkenfahrer- und Chaoskampfmotive sowie die politische und theologische Auseinandersetzung um Baal im Nordreich und in den deuteronomistischen Texten. Fuer die Hauptthese ist damit gesichert: Die starke Spur verlaeuft ueber Funktionsuebernahme, Ueberbietung und Polemik, nicht ueber eine belegte Namensidentitaet JHWH = Baal.</w:t>
      </w:r>
    </w:p>
    <w:p>
      <w:pPr>
        <w:pStyle w:val="Heading2"/>
      </w:pPr>
      <w:r>
        <w:t>9. Druckreifepruefung Kapitel 5</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Baal/Hadad/Adad werden als Wettergott-Komplex bewertet; JHWH wird als Funktionsuebernahme und Konkurrenz, nicht als Identitaet eingeordnet.</w:t>
            </w:r>
          </w:p>
        </w:tc>
      </w:tr>
      <w:tr>
        <w:tc>
          <w:tcPr>
            <w:tcW w:type="dxa" w:w="2400"/>
            <w:vAlign w:val="top"/>
          </w:tcPr>
          <w:p>
            <w:r/>
            <w:r>
              <w:rPr>
                <w:rFonts w:ascii="Arial" w:hAnsi="Arial"/>
                <w:b w:val="0"/>
                <w:sz w:val="16"/>
              </w:rPr>
              <w:t>Motivfelder belegt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Psalm 29, Wolkenfahrt, Regen, Donner, Chaoskampf und Baalpolemik sind als zentrale Vergleichsfelder markiert.</w:t>
            </w:r>
          </w:p>
        </w:tc>
      </w:tr>
      <w:tr>
        <w:tc>
          <w:tcPr>
            <w:tcW w:type="dxa" w:w="2400"/>
            <w:vAlign w:val="top"/>
          </w:tcPr>
          <w:p>
            <w:r/>
            <w:r>
              <w:rPr>
                <w:rFonts w:ascii="Arial" w:hAnsi="Arial"/>
                <w:b w:val="0"/>
                <w:sz w:val="16"/>
              </w:rPr>
              <w:t>Identitaetsgrenze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JHWH = Baal wird als nicht belegt ausgeschlossen; Baal/Hadad/Adad werden enger verbunden bewertet.</w:t>
            </w:r>
          </w:p>
        </w:tc>
      </w:tr>
      <w:tr>
        <w:tc>
          <w:tcPr>
            <w:tcW w:type="dxa" w:w="2400"/>
            <w:vAlign w:val="top"/>
          </w:tcPr>
          <w:p>
            <w:r/>
            <w:r>
              <w:rPr>
                <w:rFonts w:ascii="Arial" w:hAnsi="Arial"/>
                <w:b w:val="0"/>
                <w:sz w:val="16"/>
              </w:rPr>
              <w:t>Hauptmodell gestuetzt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Das Kapitel stuetzt Titel-, Motiv- und Funktionsuebernahme statt Universalidentitaet.</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neutralisiert.</w:t>
            </w:r>
          </w:p>
        </w:tc>
      </w:tr>
    </w:tbl>
    <w:p>
      <w:pPr>
        <w:pStyle w:val="Heading2"/>
      </w:pPr>
      <w:r>
        <w:t>10. Quellenbasis fuer Kapitel 5</w:t>
      </w:r>
    </w:p>
    <w:p>
      <w:pPr>
        <w:pStyle w:val="ListBullet"/>
      </w:pPr>
      <w:r>
        <w:rPr>
          <w:rFonts w:ascii="Arial" w:hAnsi="Arial"/>
        </w:rPr>
        <w:t>ORACC, Ancient Mesopotamian Gods and Goddesses, 'Ishkur/Adad', zu Adad/Ishkur als Sturmgott und seinen Gleichsetzungen mit anderen Wettergoettern.</w:t>
      </w:r>
    </w:p>
    <w:p>
      <w:pPr>
        <w:pStyle w:val="ListBullet"/>
      </w:pPr>
      <w:r>
        <w:rPr>
          <w:rFonts w:ascii="Arial" w:hAnsi="Arial"/>
        </w:rPr>
        <w:t>Encyclopaedia Judaica / Encyclopedia.com, 'Hadad', zu Hadad/Adad als westsemitisch-mesopotamischem Sturmgott und Baal-Hadad-Tradition.</w:t>
      </w:r>
    </w:p>
    <w:p>
      <w:pPr>
        <w:pStyle w:val="ListBullet"/>
      </w:pPr>
      <w:r>
        <w:rPr>
          <w:rFonts w:ascii="Arial" w:hAnsi="Arial"/>
        </w:rPr>
        <w:t>Encyclopedia.com, 'Baal', zu Baal als Titel, Wetter-/Fruchtbarkeitsgott, Wolkenfahrer, Yam/Mot-Konflikt und biblischen JHWH-Parallelen.</w:t>
      </w:r>
    </w:p>
    <w:p>
      <w:pPr>
        <w:pStyle w:val="ListBullet"/>
      </w:pPr>
      <w:r>
        <w:rPr>
          <w:rFonts w:ascii="Arial" w:hAnsi="Arial"/>
        </w:rPr>
        <w:t>Joanna Toyraanvuori, 'Psalm 29 and Methodological Triangulation', Biblische Notizen 186, 2020, zu Psalm 29, Baal-Zyklus, Baal-Hymnus und Sturmgott-Ikonographie.</w:t>
      </w:r>
    </w:p>
    <w:p>
      <w:pPr>
        <w:pStyle w:val="ListBullet"/>
      </w:pPr>
      <w:r>
        <w:rPr>
          <w:rFonts w:ascii="Arial" w:hAnsi="Arial"/>
        </w:rPr>
        <w:t>Fred E. Woods, 'Who Controls the Water? Yahweh vs. Baal', FARMS Occasional Papers 4, 2003, zur deuteronomistischen Wasser- und Regenpolemik.</w:t>
      </w:r>
    </w:p>
    <w:p>
      <w:pPr>
        <w:pStyle w:val="ListBullet"/>
      </w:pPr>
      <w:r>
        <w:rPr>
          <w:rFonts w:ascii="Arial" w:hAnsi="Arial"/>
        </w:rPr>
        <w:t>Michael J. Stahl, 'God's Best Frenemy: A New Perspective on YHWH and Baal in Ancient Israel and Judah', Semitica 63, 2021, DOI 10.2143/SE.63.0.3289896.</w:t>
      </w:r>
    </w:p>
    <w:p>
      <w:pPr>
        <w:pStyle w:val="ListBullet"/>
      </w:pPr>
      <w:r>
        <w:rPr>
          <w:rFonts w:ascii="Arial" w:hAnsi="Arial"/>
        </w:rPr>
        <w:t>Biblical Archaeology Society, 'Battle of the Gods', 2023, als populaerwissenschaftliche Zusammenfassung von Stahls Rekonstruktion zu Omriden, JHWH und Baal.</w:t>
      </w:r>
    </w:p>
    <w:p>
      <w:pPr>
        <w:pStyle w:val="ListBullet"/>
      </w:pPr>
      <w:r>
        <w:rPr>
          <w:rFonts w:ascii="Arial" w:hAnsi="Arial"/>
        </w:rPr>
        <w:t>Mark S. Smith, The Early History of God, Eerdmans, 2002, zu Konvergenz von El, Baal, Aschera und JHWH in der fruehen israelitischen Religion.</w:t>
      </w:r>
    </w:p>
    <w:p>
      <w:pPr>
        <w:pStyle w:val="ListBullet"/>
      </w:pPr>
      <w:r>
        <w:rPr>
          <w:rFonts w:ascii="Arial" w:hAnsi="Arial"/>
        </w:rPr>
        <w:t>Mark S. Smith, The Origins of Biblical Monotheism, Oxford University Press, 2001, zu Ugarit, Baal, El/JHWH und Entstehung monotheistischer Rhetorik.</w:t>
      </w:r>
    </w:p>
    <w:p>
      <w:r>
        <w:br w:type="page"/>
      </w:r>
    </w:p>
    <w:p>
      <w:pPr>
        <w:pStyle w:val="Heading1"/>
      </w:pPr>
      <w:r>
        <w:t>Kapitel 6: Second-Temple-Umdeutung - Engel, Waechter, Daemonen und Satan</w:t>
      </w:r>
    </w:p>
    <w:p>
      <w:r>
        <w:rPr>
          <w:rFonts w:ascii="Arial" w:hAnsi="Arial"/>
        </w:rPr>
        <w:t>Leitfrage: Werden die frueheren Elohim im spaeteren Judentum zu Engeln, Daemonen oder Satanfiguren umgedeutet? Die Antwort lautet: In dieser pauschalen Form ist die These zu hart. Es gibt keinen einzelnen Text, der erklaert: 'Die alten Goetter wurden jetzt offiziell Engel oder Daemonen.' Sehr gut belegbar ist aber ein religionsgeschichtlicher Prozess, in dem eine aeltere Vorstellung von himmlischen Goetter- und Ratswesen in einer monotheistischen Ordnung neu sortiert wird. In der Second-Temple-Zeit erscheinen diese Wesen nicht mehr als legitime Goetter neben JHWH, sondern als Engel, Waechter, Geister, Daemonen, himmlische Fuersten oder feindliche Maechte unter Gottes Souveraenitaet.</w:t>
      </w:r>
      <w:r>
        <w:footnoteReference w:id="43"/>
      </w:r>
    </w:p>
    <w:p>
      <w:pPr>
        <w:pStyle w:val="Heading2"/>
      </w:pPr>
      <w:r>
        <w:t>1. Ergebnis in Kurzform</w:t>
      </w:r>
    </w:p>
    <w:p>
      <w:pPr>
        <w:pStyle w:val="ListBullet"/>
      </w:pPr>
      <w:r>
        <w:rPr>
          <w:rFonts w:ascii="Arial" w:hAnsi="Arial"/>
        </w:rPr>
        <w:t>Die Second-Temple-Literatur loescht die himmlische Mehrzahl nicht aus, sondern ordnet sie neu: Ein Gott bleibt oberste Wirklichkeit, darunter stehen Engel, Waechter, Geister, Daemonen und Fuersten.</w:t>
      </w:r>
    </w:p>
    <w:p>
      <w:pPr>
        <w:pStyle w:val="ListBullet"/>
      </w:pPr>
      <w:r>
        <w:rPr>
          <w:rFonts w:ascii="Arial" w:hAnsi="Arial"/>
        </w:rPr>
        <w:t>1 Henoch, besonders das Buch der Waechter, entwickelt Genesis 6 zu einer grossen Erklaerung von Gewalt, verbotener Weisheit, Riesen/Nephilim und boesen Geistern.</w:t>
      </w:r>
    </w:p>
    <w:p>
      <w:pPr>
        <w:pStyle w:val="ListBullet"/>
      </w:pPr>
      <w:r>
        <w:rPr>
          <w:rFonts w:ascii="Arial" w:hAnsi="Arial"/>
        </w:rPr>
        <w:t>Jubilaeen uebernimmt und ordnet diese Tradition weiter: Boese Geister wirken nach der Flut fort und stehen unter Mastema, der nicht als gleichrangiger Gegengott, sondern als feindlicher Funktionstraeger erscheint.</w:t>
      </w:r>
    </w:p>
    <w:p>
      <w:pPr>
        <w:pStyle w:val="ListBullet"/>
      </w:pPr>
      <w:r>
        <w:rPr>
          <w:rFonts w:ascii="Arial" w:hAnsi="Arial"/>
        </w:rPr>
        <w:t>Die Schriftrollen vom Toten Meer zeigen eine stark ausgebaute dualistische Sprache: Soehne des Lichts gegen Soehne der Finsternis, Michael/Prince of Light gegen Belial.</w:t>
      </w:r>
    </w:p>
    <w:p>
      <w:pPr>
        <w:pStyle w:val="ListBullet"/>
      </w:pPr>
      <w:r>
        <w:rPr>
          <w:rFonts w:ascii="Arial" w:hAnsi="Arial"/>
        </w:rPr>
        <w:t>Satan, Belial und Mastema sind in dieser Phase keine Beweise fuer einen zweiten gleichmaechtigen Gott. Sie zeigen vielmehr, wie das Problem des Boesen innerhalb eines monotheistischen Rahmens personalisiert wird.</w:t>
      </w:r>
    </w:p>
    <w:p>
      <w:pPr>
        <w:pStyle w:val="ListBullet"/>
      </w:pPr>
      <w:r>
        <w:rPr>
          <w:rFonts w:ascii="Arial" w:hAnsi="Arial"/>
        </w:rPr>
        <w:t>Fuer die Hauptthese ist wichtig: Die alte goettliche Mehrzahl verschwindet nicht einfach, sondern wird untergeordnet, moralisiert, angelisiert oder daemonisiert.</w:t>
      </w:r>
    </w:p>
    <w:p>
      <w:pPr>
        <w:pStyle w:val="Heading2"/>
      </w:pPr>
      <w:r>
        <w:t>2. Warum dieses Kapitel erst nach El, Aschera und Baal kommt</w:t>
      </w:r>
    </w:p>
    <w:p>
      <w:r>
        <w:rPr>
          <w:rFonts w:ascii="Arial" w:hAnsi="Arial"/>
        </w:rPr>
        <w:t>Dieses Kapitel darf nicht in die fruehisraelitische Phase zurueckprojiziert werden. In Kapitel 1 bis 5 ging es um kanaanaeische, ugaritische und fruehisraelitische Befunde: El, Baal/Hadad, Aschera, JHWH und der goettliche Rat. Die Second-Temple-Texte entstehen deutlich spaeter und setzen bereits eine andere theologische Situation voraus: JHWH beziehungsweise der Gott Israels ist nun die oberste und zunehmend einzige Gottheit. Die Frage lautet deshalb nicht mehr, welcher Gott neben welchem Gott steht, sondern wie man himmlische Vielfalt erklaert, ohne den Monotheismus aufzugeben.</w:t>
      </w:r>
      <w:r>
        <w:footnoteReference w:id="44"/>
      </w:r>
    </w:p>
    <w:p>
      <w:r>
        <w:rPr>
          <w:rFonts w:ascii="Arial" w:hAnsi="Arial"/>
        </w:rPr>
        <w:t>Genau darin liegt die Bruecke zu unserem Vier-Stufen-Modell. Stufe 4 bedeutet nicht, dass alle uebermenschlichen Wesen verschwinden. Sie verlieren nur ihren Status als eigenstaendige Goetter. Sie werden zu Boten, Waechtern, Thronwesen, Engeln, boesen Geistern, Daemonen oder feindlichen Fuersten. Die alte Ratsstruktur bleibt als Erinnerung und Strukturform teilweise erhalten, wird aber theologisch neu gedeutet.</w:t>
      </w:r>
    </w:p>
    <w:p>
      <w:pPr>
        <w:pStyle w:val="Heading3"/>
      </w:pPr>
      <w:r>
        <w:t>2.1 Typologie der Umdeutung</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Aelteres Motivfeld</w:t>
            </w:r>
          </w:p>
        </w:tc>
        <w:tc>
          <w:tcPr>
            <w:tcW w:type="dxa" w:w="2500"/>
            <w:vAlign w:val="top"/>
            <w:shd w:fill="F1F3F4"/>
          </w:tcPr>
          <w:p>
            <w:r/>
            <w:r>
              <w:rPr>
                <w:rFonts w:ascii="Arial" w:hAnsi="Arial"/>
                <w:b/>
                <w:sz w:val="16"/>
              </w:rPr>
              <w:t>Frueher Befund</w:t>
            </w:r>
          </w:p>
        </w:tc>
        <w:tc>
          <w:tcPr>
            <w:tcW w:type="dxa" w:w="3200"/>
            <w:vAlign w:val="top"/>
            <w:shd w:fill="F1F3F4"/>
          </w:tcPr>
          <w:p>
            <w:r/>
            <w:r>
              <w:rPr>
                <w:rFonts w:ascii="Arial" w:hAnsi="Arial"/>
                <w:b/>
                <w:sz w:val="16"/>
              </w:rPr>
              <w:t>Spaetere Gestalt</w:t>
            </w:r>
          </w:p>
        </w:tc>
        <w:tc>
          <w:tcPr>
            <w:tcW w:type="dxa" w:w="1500"/>
            <w:vAlign w:val="top"/>
            <w:shd w:fill="F1F3F4"/>
          </w:tcPr>
          <w:p>
            <w:r/>
            <w:r>
              <w:rPr>
                <w:rFonts w:ascii="Arial" w:hAnsi="Arial"/>
                <w:b/>
                <w:sz w:val="16"/>
              </w:rPr>
              <w:t>Bewertung</w:t>
            </w:r>
          </w:p>
        </w:tc>
      </w:tr>
      <w:tr>
        <w:tc>
          <w:tcPr>
            <w:tcW w:type="dxa" w:w="1800"/>
            <w:vAlign w:val="top"/>
          </w:tcPr>
          <w:p>
            <w:r/>
            <w:r>
              <w:rPr>
                <w:rFonts w:ascii="Arial" w:hAnsi="Arial"/>
                <w:b w:val="0"/>
                <w:sz w:val="16"/>
              </w:rPr>
              <w:t>Goettlicher Rat</w:t>
            </w:r>
          </w:p>
        </w:tc>
        <w:tc>
          <w:tcPr>
            <w:tcW w:type="dxa" w:w="2500"/>
            <w:vAlign w:val="top"/>
          </w:tcPr>
          <w:p>
            <w:r/>
            <w:r>
              <w:rPr>
                <w:rFonts w:ascii="Arial" w:hAnsi="Arial"/>
                <w:b w:val="0"/>
                <w:sz w:val="16"/>
              </w:rPr>
              <w:t>Versammlung goettlicher Wesen unter El/JHWH</w:t>
            </w:r>
          </w:p>
        </w:tc>
        <w:tc>
          <w:tcPr>
            <w:tcW w:type="dxa" w:w="3200"/>
            <w:vAlign w:val="top"/>
          </w:tcPr>
          <w:p>
            <w:r/>
            <w:r>
              <w:rPr>
                <w:rFonts w:ascii="Arial" w:hAnsi="Arial"/>
                <w:b w:val="0"/>
                <w:sz w:val="16"/>
              </w:rPr>
              <w:t>Hofstaat, Engelversammlung, himmlischer Gerichtshof</w:t>
            </w:r>
          </w:p>
        </w:tc>
        <w:tc>
          <w:tcPr>
            <w:tcW w:type="dxa" w:w="1500"/>
            <w:vAlign w:val="top"/>
          </w:tcPr>
          <w:p>
            <w:r/>
            <w:r>
              <w:rPr>
                <w:rFonts w:ascii="Arial" w:hAnsi="Arial"/>
                <w:b w:val="0"/>
                <w:sz w:val="16"/>
              </w:rPr>
              <w:t>Kontinuitaet der Struktur, Verlust eigenstaendiger Gottheit.</w:t>
            </w:r>
          </w:p>
        </w:tc>
      </w:tr>
      <w:tr>
        <w:tc>
          <w:tcPr>
            <w:tcW w:type="dxa" w:w="1800"/>
            <w:vAlign w:val="top"/>
          </w:tcPr>
          <w:p>
            <w:r/>
            <w:r>
              <w:rPr>
                <w:rFonts w:ascii="Arial" w:hAnsi="Arial"/>
                <w:b w:val="0"/>
                <w:sz w:val="16"/>
              </w:rPr>
              <w:t>Soehne Gottes/Soehne Els</w:t>
            </w:r>
          </w:p>
        </w:tc>
        <w:tc>
          <w:tcPr>
            <w:tcW w:type="dxa" w:w="2500"/>
            <w:vAlign w:val="top"/>
          </w:tcPr>
          <w:p>
            <w:r/>
            <w:r>
              <w:rPr>
                <w:rFonts w:ascii="Arial" w:hAnsi="Arial"/>
                <w:b w:val="0"/>
                <w:sz w:val="16"/>
              </w:rPr>
              <w:t>Goettliche oder himmlische Wesen im Umfeld des Hoechsten</w:t>
            </w:r>
          </w:p>
        </w:tc>
        <w:tc>
          <w:tcPr>
            <w:tcW w:type="dxa" w:w="3200"/>
            <w:vAlign w:val="top"/>
          </w:tcPr>
          <w:p>
            <w:r/>
            <w:r>
              <w:rPr>
                <w:rFonts w:ascii="Arial" w:hAnsi="Arial"/>
                <w:b w:val="0"/>
                <w:sz w:val="16"/>
              </w:rPr>
              <w:t>Engel, Waechter, Fuersten oder literarische Erinnerungen</w:t>
            </w:r>
          </w:p>
        </w:tc>
        <w:tc>
          <w:tcPr>
            <w:tcW w:type="dxa" w:w="1500"/>
            <w:vAlign w:val="top"/>
          </w:tcPr>
          <w:p>
            <w:r/>
            <w:r>
              <w:rPr>
                <w:rFonts w:ascii="Arial" w:hAnsi="Arial"/>
                <w:b w:val="0"/>
                <w:sz w:val="16"/>
              </w:rPr>
              <w:t>Keine vollstaendige Namensliste; funktionale Umdeutung.</w:t>
            </w:r>
          </w:p>
        </w:tc>
      </w:tr>
      <w:tr>
        <w:tc>
          <w:tcPr>
            <w:tcW w:type="dxa" w:w="1800"/>
            <w:vAlign w:val="top"/>
          </w:tcPr>
          <w:p>
            <w:r/>
            <w:r>
              <w:rPr>
                <w:rFonts w:ascii="Arial" w:hAnsi="Arial"/>
                <w:b w:val="0"/>
                <w:sz w:val="16"/>
              </w:rPr>
              <w:t>Voelkergottheiten/Nationalgoetter</w:t>
            </w:r>
          </w:p>
        </w:tc>
        <w:tc>
          <w:tcPr>
            <w:tcW w:type="dxa" w:w="2500"/>
            <w:vAlign w:val="top"/>
          </w:tcPr>
          <w:p>
            <w:r/>
            <w:r>
              <w:rPr>
                <w:rFonts w:ascii="Arial" w:hAnsi="Arial"/>
                <w:b w:val="0"/>
                <w:sz w:val="16"/>
              </w:rPr>
              <w:t>Goettliche Maechte, die Voelker repraesentieren koennen</w:t>
            </w:r>
          </w:p>
        </w:tc>
        <w:tc>
          <w:tcPr>
            <w:tcW w:type="dxa" w:w="3200"/>
            <w:vAlign w:val="top"/>
          </w:tcPr>
          <w:p>
            <w:r/>
            <w:r>
              <w:rPr>
                <w:rFonts w:ascii="Arial" w:hAnsi="Arial"/>
                <w:b w:val="0"/>
                <w:sz w:val="16"/>
              </w:rPr>
              <w:t>Nationenengel, himmlische Fuersten, Schutzengel</w:t>
            </w:r>
          </w:p>
        </w:tc>
        <w:tc>
          <w:tcPr>
            <w:tcW w:type="dxa" w:w="1500"/>
            <w:vAlign w:val="top"/>
          </w:tcPr>
          <w:p>
            <w:r/>
            <w:r>
              <w:rPr>
                <w:rFonts w:ascii="Arial" w:hAnsi="Arial"/>
                <w:b w:val="0"/>
                <w:sz w:val="16"/>
              </w:rPr>
              <w:t>Besonders anschlussfaehig an Daniel und spaetere Angelologie.</w:t>
            </w:r>
          </w:p>
        </w:tc>
      </w:tr>
      <w:tr>
        <w:tc>
          <w:tcPr>
            <w:tcW w:type="dxa" w:w="1800"/>
            <w:vAlign w:val="top"/>
          </w:tcPr>
          <w:p>
            <w:r/>
            <w:r>
              <w:rPr>
                <w:rFonts w:ascii="Arial" w:hAnsi="Arial"/>
                <w:b w:val="0"/>
                <w:sz w:val="16"/>
              </w:rPr>
              <w:t>Grenzueberschreitende Himmelswesen</w:t>
            </w:r>
          </w:p>
        </w:tc>
        <w:tc>
          <w:tcPr>
            <w:tcW w:type="dxa" w:w="2500"/>
            <w:vAlign w:val="top"/>
          </w:tcPr>
          <w:p>
            <w:r/>
            <w:r>
              <w:rPr>
                <w:rFonts w:ascii="Arial" w:hAnsi="Arial"/>
                <w:b w:val="0"/>
                <w:sz w:val="16"/>
              </w:rPr>
              <w:t>Gen 6 als knappe Notiz ueber Soehne Gottes und Menschentoechter</w:t>
            </w:r>
          </w:p>
        </w:tc>
        <w:tc>
          <w:tcPr>
            <w:tcW w:type="dxa" w:w="3200"/>
            <w:vAlign w:val="top"/>
          </w:tcPr>
          <w:p>
            <w:r/>
            <w:r>
              <w:rPr>
                <w:rFonts w:ascii="Arial" w:hAnsi="Arial"/>
                <w:b w:val="0"/>
                <w:sz w:val="16"/>
              </w:rPr>
              <w:t>Waechter, gefallene Engel, Riesen, boese Geister</w:t>
            </w:r>
          </w:p>
        </w:tc>
        <w:tc>
          <w:tcPr>
            <w:tcW w:type="dxa" w:w="1500"/>
            <w:vAlign w:val="top"/>
          </w:tcPr>
          <w:p>
            <w:r/>
            <w:r>
              <w:rPr>
                <w:rFonts w:ascii="Arial" w:hAnsi="Arial"/>
                <w:b w:val="0"/>
                <w:sz w:val="16"/>
              </w:rPr>
              <w:t>Second-Temple-Ausbau; nicht direkt Anunnaki.</w:t>
            </w:r>
          </w:p>
        </w:tc>
      </w:tr>
      <w:tr>
        <w:tc>
          <w:tcPr>
            <w:tcW w:type="dxa" w:w="1800"/>
            <w:vAlign w:val="top"/>
          </w:tcPr>
          <w:p>
            <w:r/>
            <w:r>
              <w:rPr>
                <w:rFonts w:ascii="Arial" w:hAnsi="Arial"/>
                <w:b w:val="0"/>
                <w:sz w:val="16"/>
              </w:rPr>
              <w:t>Feindliche Macht</w:t>
            </w:r>
          </w:p>
        </w:tc>
        <w:tc>
          <w:tcPr>
            <w:tcW w:type="dxa" w:w="2500"/>
            <w:vAlign w:val="top"/>
          </w:tcPr>
          <w:p>
            <w:r/>
            <w:r>
              <w:rPr>
                <w:rFonts w:ascii="Arial" w:hAnsi="Arial"/>
                <w:b w:val="0"/>
                <w:sz w:val="16"/>
              </w:rPr>
              <w:t>Noch kein einheitlicher Teufel im fruehen Befund</w:t>
            </w:r>
          </w:p>
        </w:tc>
        <w:tc>
          <w:tcPr>
            <w:tcW w:type="dxa" w:w="3200"/>
            <w:vAlign w:val="top"/>
          </w:tcPr>
          <w:p>
            <w:r/>
            <w:r>
              <w:rPr>
                <w:rFonts w:ascii="Arial" w:hAnsi="Arial"/>
                <w:b w:val="0"/>
                <w:sz w:val="16"/>
              </w:rPr>
              <w:t>Satan, Belial, Mastema, Devil/Lucifer in spaeterer Verdichtung</w:t>
            </w:r>
          </w:p>
        </w:tc>
        <w:tc>
          <w:tcPr>
            <w:tcW w:type="dxa" w:w="1500"/>
            <w:vAlign w:val="top"/>
          </w:tcPr>
          <w:p>
            <w:r/>
            <w:r>
              <w:rPr>
                <w:rFonts w:ascii="Arial" w:hAnsi="Arial"/>
                <w:b w:val="0"/>
                <w:sz w:val="16"/>
              </w:rPr>
              <w:t>Personalisierung des Boesen, aber kein zweiter Gott.</w:t>
            </w:r>
          </w:p>
        </w:tc>
      </w:tr>
    </w:tbl>
    <w:p>
      <w:r>
        <w:rPr>
          <w:rFonts w:ascii="Arial" w:hAnsi="Arial"/>
        </w:rPr>
        <w:t>Diese Typologie beantwortet die Kernfrage genauer: Nicht 'die Elohim werden alle Engel', sondern 'verschiedene aeltere Kategorien himmlischer Mehrzahl werden in einer monotheistischen Ordnung unterschiedlich verarbeitet'. Einige werden zu Dienern Gottes, andere zu Schutzfuersten, andere zu gefallenen Waechtern, andere zu Daemonen oder zu literarischen Erinnerungen. Eine vollstaendige Zuordnungsliste einzelner alter Goetter zu spaeteren Engeln existiert nicht.</w:t>
      </w:r>
    </w:p>
    <w:p>
      <w:pPr>
        <w:pStyle w:val="Heading2"/>
      </w:pPr>
      <w:r>
        <w:t>3. Genesis 6, 1 Henoch und die Waechter</w:t>
      </w:r>
    </w:p>
    <w:p>
      <w:r>
        <w:rPr>
          <w:rFonts w:ascii="Arial" w:hAnsi="Arial"/>
        </w:rPr>
        <w:t>Genesis 6,1-4 spricht davon, dass die 'Soehne Gottes' zu den Menschentoechtern gingen und daraus die Nephilim beziehungsweise beruehmte Maenner der Vorzeit hervorgingen. Der biblische Text selbst bleibt knapp. Gerade diese Kuerze hat spaeter eine enorme Auslegungsgeschichte ausgelost. 1 Henoch, besonders das Buch der Waechter, macht daraus eine breit entfaltete Geschichte: himmlische Waechter ueberschreiten die Grenze zwischen Himmel und Erde, nehmen Frauen, zeugen Riesen, lehren verbotenes Wissen und tragen so zur Ausbreitung von Gewalt und Verderben bei.</w:t>
      </w:r>
      <w:r>
        <w:footnoteReference w:id="45"/>
      </w:r>
    </w:p>
    <w:p>
      <w:r>
        <w:rPr>
          <w:rFonts w:ascii="Arial" w:hAnsi="Arial"/>
        </w:rPr>
        <w:t>Annette Yoshiko Reed ordnet den Ausbau juedischer Engel- und Daemonenvorstellungen in den Kontext des fruehen Judentums und der aramaeischen Texte aus dem Umfeld der Schriftrollen vom Toten Meer ein. Die Watchers-Forschung betont, dass die Waechter als Klasse von Engeln oder himmlischen Wesen gelesen werden, die die Grenze zwischen Himmel und Erde verletzen. Damit ist die aelteste juedische Deutung von Genesis 6 nicht die spaetere rein menschliche Sethiten-Deutung, sondern eine Deutung mit himmlischen Wesen.</w:t>
      </w:r>
      <w:r>
        <w:footnoteReference w:id="46"/>
      </w:r>
    </w:p>
    <w:p>
      <w:r>
        <w:rPr>
          <w:rFonts w:ascii="Arial" w:hAnsi="Arial"/>
        </w:rPr>
        <w:t>Fuer die Frage nach Vergewaltigung, Gewalt und goettlicher Verantwortung ist wichtig: Die Enoch-Tradition versteht die Erzaehlung nicht als harmonische Verbindung, sondern als Grenzbruch und Ursprung von Verderben. Sie beweist aber nicht, dass Anunnaki und Elohim identisch waeren. Sie belegt eine juedische Deutung, in der 'Soehne Gottes' als himmlische Wesen verstanden und ihre Nachkommen sowie deren Geister zu einer Ursache von Gewalt, Unheil und Daemonen werden.</w:t>
      </w:r>
    </w:p>
    <w:p>
      <w:pPr>
        <w:pStyle w:val="Heading2"/>
      </w:pPr>
      <w:r>
        <w:t>4. Jubilaeen: Mastema und boese Geister nach der Flut</w:t>
      </w:r>
    </w:p>
    <w:p>
      <w:r>
        <w:rPr>
          <w:rFonts w:ascii="Arial" w:hAnsi="Arial"/>
        </w:rPr>
        <w:t>Das Buch Jubilaeen fuehrt die Enoch-Traditionen weiter und verbindet sie mit der Urgeschichte. Besonders wichtig ist der Gedanke, dass nach der Vernichtung der Riesen ihre boesen Geister weiterwirken. Diese Geister koennen Menschen verfuehren, krank machen oder schaden. Damit beantwortet Jubilaeen ein Problem, das auch fuer die Analyse zentral ist: Wenn die Flut das Boese vernichten sollte, weshalb existiert es danach weiter? Die Antwort lautet in dieser Tradition: Nicht alle boesen Geister verschwinden; ein Teil bleibt als pruefende oder schadende Macht zugelassen.</w:t>
      </w:r>
      <w:r>
        <w:footnoteReference w:id="47"/>
      </w:r>
    </w:p>
    <w:p>
      <w:r>
        <w:rPr>
          <w:rFonts w:ascii="Arial" w:hAnsi="Arial"/>
        </w:rPr>
        <w:t>Mastema ist dabei kein zweiter Gott. Antoni Tronina beschreibt Mastema eher als Funktionsbezeichnung, als 'Herr der Feindschaft' beziehungsweise Leiter einer feindlichen Geisterschar. Hector M. Patmore zeigt fuer Jubilaeen, dass die Terminologie von Daemonen und Geistern differenziert ist und nicht einfach moderne Daemonologie vorausgesetzt werden darf. Fuer das Modell heisst das: Das Boese wird personalisiert, aber weiterhin unter Gottes letztlicher Oberhoheit gedacht.</w:t>
      </w:r>
    </w:p>
    <w:p>
      <w:pPr>
        <w:pStyle w:val="Heading2"/>
      </w:pPr>
      <w:r>
        <w:t>5. Schriftrollen vom Toten Meer: Licht, Finsternis, Belial und Michael</w:t>
      </w:r>
    </w:p>
    <w:p>
      <w:r>
        <w:rPr>
          <w:rFonts w:ascii="Arial" w:hAnsi="Arial"/>
        </w:rPr>
        <w:t>Die Schriftrollen vom Toten Meer zeigen eine weitere Stufe der Umdeutung. Im War Scroll steht eine endzeitliche Konfrontation zwischen den Soehnen des Lichts und den Soehnen der Finsternis im Vordergrund. Die Seite des Lichts ist mit Michael beziehungsweise dem Prince of Light verbunden, die Gegenseite mit Belial. Die Israel-Museum-Beschreibung des War Scroll fasst diese Rollen als kosmisch-militaerische Endkonfrontation zusammen.</w:t>
      </w:r>
      <w:r>
        <w:footnoteReference w:id="48"/>
      </w:r>
    </w:p>
    <w:p>
      <w:r>
        <w:rPr>
          <w:rFonts w:ascii="Arial" w:hAnsi="Arial"/>
        </w:rPr>
        <w:t>Das ist fuer die 'Clash of the Gods'-Frage wichtig. In Qumran gibt es tatsaechlich die Vorstellung eines letzten Kampfes, aber nicht als Kampf gleichrangiger Goetter. Es ist ein apokalyptischer Kampf innerhalb eines monotheistischen Weltbildes. Engel, himmlische Fuersten und boese Maechte kaempfen, doch Gott bleibt die letzte Instanz. Damit wird ein alter Goetterkampf- oder Ratsgedanke nicht einfach fortgesetzt, sondern in eine Endzeit- und Gerichtstheologie uebersetzt.</w:t>
      </w:r>
    </w:p>
    <w:p>
      <w:r>
        <w:rPr>
          <w:rFonts w:ascii="Arial" w:hAnsi="Arial"/>
        </w:rPr>
        <w:t>Bennie H. Reynolds beschreibt die Daemonologie der Schriftrollen vom Toten Meer als Uebernahme, Anpassung und Neukonfiguration von Traditionen aus dem Buch der Waechter. Kenneth Atkinson zeigt an Belial, dass diese Figur in Qumran nicht nur ein Randmotiv, sondern ein wichtiges Deutungszentrum fuer Schuld, Versuchung, Gemeinschaftsgrenzen und Endkampf werden kann.</w:t>
      </w:r>
    </w:p>
    <w:p>
      <w:pPr>
        <w:pStyle w:val="Heading2"/>
      </w:pPr>
      <w:r>
        <w:t>6. Satan, Belial, Mastema und die Lucifer-Frage</w:t>
      </w:r>
    </w:p>
    <w:p>
      <w:r>
        <w:rPr>
          <w:rFonts w:ascii="Arial" w:hAnsi="Arial"/>
        </w:rPr>
        <w:t>Der spaetere christliche Lucifer-Satan ist nicht einfach identisch mit einer klaren alttestamentlichen Figur. In der hebraeischen Bibel kann satan zunaechst eine Rolle oder Funktion meinen: Widersacher, Anklaeger oder Gegner. Erst in der fruehjuedischen und Second-Temple-Literatur verdichtet sich daraus zunehmend eine kosmische Gegengestalt. Oxford Bibliographies fasst den Forschungsstand so, dass die Vorstellung Satans als kosmischer Erzfeind Gottes eine komplexe Geschichte hat und in fruehjuedischen Texten besonders klar hervortritt, wobei auch Belial, Mastema, Beelzebul, Lucifer und Devil als spaetere oder parallele Bezeichnungen eine Rolle spielen.</w:t>
      </w:r>
      <w:r>
        <w:footnoteReference w:id="49"/>
      </w:r>
    </w:p>
    <w:p>
      <w:r>
        <w:rPr>
          <w:rFonts w:ascii="Arial" w:hAnsi="Arial"/>
        </w:rPr>
        <w:t>Fuer die Ausarbeitung folgt daraus: Wenn im NT oder in spaeterer christlicher Tradition Satan als Fuehrer des Boesen erscheint, ist das kein einfacher Rueckblick auf einen alten Gott gleichen Ranges. Es ist eine theologische Verdichtung des Boesen in einer monotheistischen Ordnung. Das erklaert, warum das Boese Macht hat, ohne dass es offiziell einen zweiten Gott neben JHWH geben darf.</w:t>
      </w:r>
    </w:p>
    <w:p>
      <w:pPr>
        <w:pStyle w:val="Heading3"/>
      </w:pPr>
      <w:r>
        <w:t>6.1 Antwort auf die Frage nach Lucifer, Satan und boesen Engeln</w:t>
      </w:r>
    </w:p>
    <w:p>
      <w:pPr>
        <w:pStyle w:val="ListBullet"/>
      </w:pPr>
      <w:r>
        <w:rPr>
          <w:rFonts w:ascii="Arial" w:hAnsi="Arial"/>
        </w:rPr>
        <w:t>Lucifer ist kein urspruenglicher Eigenname eines alttestamentlichen Gegengottes. Die spaetere Lucifer-Satan-Gleichung entsteht aus Auslegungsgeschichte, lateinischer Bibeltradition und christlicher Rezeption.</w:t>
      </w:r>
    </w:p>
    <w:p>
      <w:pPr>
        <w:pStyle w:val="ListBullet"/>
      </w:pPr>
      <w:r>
        <w:rPr>
          <w:rFonts w:ascii="Arial" w:hAnsi="Arial"/>
        </w:rPr>
        <w:t>Satan ist in frueheren Texten eher Rolle/Funktion eines Widersachers oder Anklaegers; erst spaeter verdichtet sich daraus eine kosmische Gegengestalt.</w:t>
      </w:r>
    </w:p>
    <w:p>
      <w:pPr>
        <w:pStyle w:val="ListBullet"/>
      </w:pPr>
      <w:r>
        <w:rPr>
          <w:rFonts w:ascii="Arial" w:hAnsi="Arial"/>
        </w:rPr>
        <w:t>Belial und Mastema sind besonders wichtig fuer die Second-Temple-Phase: Sie organisieren Feindschaft, Versuchung und Finsternis, aber nicht als gleichrangige Goetter neben JHWH.</w:t>
      </w:r>
    </w:p>
    <w:p>
      <w:pPr>
        <w:pStyle w:val="ListBullet"/>
      </w:pPr>
      <w:r>
        <w:rPr>
          <w:rFonts w:ascii="Arial" w:hAnsi="Arial"/>
        </w:rPr>
        <w:t>Boese Engel beziehungsweise gefallene Waechter sind in 1 Henoch und verwandter Literatur gut belegt; ihre Daemonisierung erklaert, warum boese Geister auch nach der Flut fortwirken koennen.</w:t>
      </w:r>
    </w:p>
    <w:p>
      <w:pPr>
        <w:pStyle w:val="ListBullet"/>
      </w:pPr>
      <w:r>
        <w:rPr>
          <w:rFonts w:ascii="Arial" w:hAnsi="Arial"/>
        </w:rPr>
        <w:t>Damit ist ein Zusammenhang mit dem goettlichen Rat moeglich, aber indirekt: Nicht der alte Rat bleibt als Pantheon bestehen, sondern seine himmlische Mehrzahl wird in Engel-, Waechter- und Daemonenkategorien umcodiert.</w:t>
      </w:r>
    </w:p>
    <w:p>
      <w:r>
        <w:br w:type="page"/>
      </w:r>
    </w:p>
    <w:p>
      <w:pPr>
        <w:pStyle w:val="Heading2"/>
      </w:pPr>
      <w:r>
        <w:t>7. Bewertungsmatrix: Umdeutung statt direkter Identitaet</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Figur/Gruppe</w:t>
            </w:r>
          </w:p>
        </w:tc>
        <w:tc>
          <w:tcPr>
            <w:tcW w:type="dxa" w:w="2500"/>
            <w:vAlign w:val="top"/>
            <w:shd w:fill="F1F3F4"/>
          </w:tcPr>
          <w:p>
            <w:r/>
            <w:r>
              <w:rPr>
                <w:rFonts w:ascii="Arial" w:hAnsi="Arial"/>
                <w:b/>
                <w:sz w:val="16"/>
              </w:rPr>
              <w:t>Spaetere Rolle</w:t>
            </w:r>
          </w:p>
        </w:tc>
        <w:tc>
          <w:tcPr>
            <w:tcW w:type="dxa" w:w="3200"/>
            <w:vAlign w:val="top"/>
            <w:shd w:fill="F1F3F4"/>
          </w:tcPr>
          <w:p>
            <w:r/>
            <w:r>
              <w:rPr>
                <w:rFonts w:ascii="Arial" w:hAnsi="Arial"/>
                <w:b/>
                <w:sz w:val="16"/>
              </w:rPr>
              <w:t>Bewertung</w:t>
            </w:r>
          </w:p>
        </w:tc>
        <w:tc>
          <w:tcPr>
            <w:tcW w:type="dxa" w:w="1500"/>
            <w:vAlign w:val="top"/>
            <w:shd w:fill="F1F3F4"/>
          </w:tcPr>
          <w:p>
            <w:r/>
            <w:r>
              <w:rPr>
                <w:rFonts w:ascii="Arial" w:hAnsi="Arial"/>
                <w:b/>
                <w:sz w:val="16"/>
              </w:rPr>
              <w:t>Bedeutung fuer die These</w:t>
            </w:r>
          </w:p>
        </w:tc>
      </w:tr>
      <w:tr>
        <w:tc>
          <w:tcPr>
            <w:tcW w:type="dxa" w:w="1800"/>
            <w:vAlign w:val="top"/>
          </w:tcPr>
          <w:p>
            <w:r/>
            <w:r>
              <w:rPr>
                <w:rFonts w:ascii="Arial" w:hAnsi="Arial"/>
                <w:b w:val="0"/>
                <w:sz w:val="16"/>
              </w:rPr>
              <w:t>Soehne Gottes in Gen 6</w:t>
            </w:r>
          </w:p>
        </w:tc>
        <w:tc>
          <w:tcPr>
            <w:tcW w:type="dxa" w:w="2500"/>
            <w:vAlign w:val="top"/>
          </w:tcPr>
          <w:p>
            <w:r/>
            <w:r>
              <w:rPr>
                <w:rFonts w:ascii="Arial" w:hAnsi="Arial"/>
                <w:b w:val="0"/>
                <w:sz w:val="16"/>
              </w:rPr>
              <w:t>Himmlische Wesen im Grenzbereich von altem Rat und spaeterer Angelologie</w:t>
            </w:r>
          </w:p>
        </w:tc>
        <w:tc>
          <w:tcPr>
            <w:tcW w:type="dxa" w:w="3200"/>
            <w:vAlign w:val="top"/>
          </w:tcPr>
          <w:p>
            <w:r/>
            <w:r>
              <w:rPr>
                <w:rFonts w:ascii="Arial" w:hAnsi="Arial"/>
                <w:b w:val="0"/>
                <w:sz w:val="16"/>
              </w:rPr>
              <w:t>Stark plausibel</w:t>
            </w:r>
          </w:p>
        </w:tc>
        <w:tc>
          <w:tcPr>
            <w:tcW w:type="dxa" w:w="1500"/>
            <w:vAlign w:val="top"/>
          </w:tcPr>
          <w:p>
            <w:r/>
            <w:r>
              <w:rPr>
                <w:rFonts w:ascii="Arial" w:hAnsi="Arial"/>
                <w:b w:val="0"/>
                <w:sz w:val="16"/>
              </w:rPr>
              <w:t>Genesis 6 bleibt knapp; 1 Henoch liest sie als Waechter/Engel.</w:t>
            </w:r>
          </w:p>
        </w:tc>
      </w:tr>
      <w:tr>
        <w:tc>
          <w:tcPr>
            <w:tcW w:type="dxa" w:w="1800"/>
            <w:vAlign w:val="top"/>
          </w:tcPr>
          <w:p>
            <w:r/>
            <w:r>
              <w:rPr>
                <w:rFonts w:ascii="Arial" w:hAnsi="Arial"/>
                <w:b w:val="0"/>
                <w:sz w:val="16"/>
              </w:rPr>
              <w:t>Waechter</w:t>
            </w:r>
          </w:p>
        </w:tc>
        <w:tc>
          <w:tcPr>
            <w:tcW w:type="dxa" w:w="2500"/>
            <w:vAlign w:val="top"/>
          </w:tcPr>
          <w:p>
            <w:r/>
            <w:r>
              <w:rPr>
                <w:rFonts w:ascii="Arial" w:hAnsi="Arial"/>
                <w:b w:val="0"/>
                <w:sz w:val="16"/>
              </w:rPr>
              <w:t>Gefallene himmlische Wesen</w:t>
            </w:r>
          </w:p>
        </w:tc>
        <w:tc>
          <w:tcPr>
            <w:tcW w:type="dxa" w:w="3200"/>
            <w:vAlign w:val="top"/>
          </w:tcPr>
          <w:p>
            <w:r/>
            <w:r>
              <w:rPr>
                <w:rFonts w:ascii="Arial" w:hAnsi="Arial"/>
                <w:b w:val="0"/>
                <w:sz w:val="16"/>
              </w:rPr>
              <w:t>Gut belegt in 1 Henoch</w:t>
            </w:r>
          </w:p>
        </w:tc>
        <w:tc>
          <w:tcPr>
            <w:tcW w:type="dxa" w:w="1500"/>
            <w:vAlign w:val="top"/>
          </w:tcPr>
          <w:p>
            <w:r/>
            <w:r>
              <w:rPr>
                <w:rFonts w:ascii="Arial" w:hAnsi="Arial"/>
                <w:b w:val="0"/>
                <w:sz w:val="16"/>
              </w:rPr>
              <w:t>Second-Temple-Ausbau, nicht direkt fruehisraelitisches Pantheon.</w:t>
            </w:r>
          </w:p>
        </w:tc>
      </w:tr>
      <w:tr>
        <w:tc>
          <w:tcPr>
            <w:tcW w:type="dxa" w:w="1800"/>
            <w:vAlign w:val="top"/>
          </w:tcPr>
          <w:p>
            <w:r/>
            <w:r>
              <w:rPr>
                <w:rFonts w:ascii="Arial" w:hAnsi="Arial"/>
                <w:b w:val="0"/>
                <w:sz w:val="16"/>
              </w:rPr>
              <w:t>Nephilim/Giants</w:t>
            </w:r>
          </w:p>
        </w:tc>
        <w:tc>
          <w:tcPr>
            <w:tcW w:type="dxa" w:w="2500"/>
            <w:vAlign w:val="top"/>
          </w:tcPr>
          <w:p>
            <w:r/>
            <w:r>
              <w:rPr>
                <w:rFonts w:ascii="Arial" w:hAnsi="Arial"/>
                <w:b w:val="0"/>
                <w:sz w:val="16"/>
              </w:rPr>
              <w:t>Nachkommen der Waechter und Menschenfrauen</w:t>
            </w:r>
          </w:p>
        </w:tc>
        <w:tc>
          <w:tcPr>
            <w:tcW w:type="dxa" w:w="3200"/>
            <w:vAlign w:val="top"/>
          </w:tcPr>
          <w:p>
            <w:r/>
            <w:r>
              <w:rPr>
                <w:rFonts w:ascii="Arial" w:hAnsi="Arial"/>
                <w:b w:val="0"/>
                <w:sz w:val="16"/>
              </w:rPr>
              <w:t>Gut belegt in Enoch-Tradition</w:t>
            </w:r>
          </w:p>
        </w:tc>
        <w:tc>
          <w:tcPr>
            <w:tcW w:type="dxa" w:w="1500"/>
            <w:vAlign w:val="top"/>
          </w:tcPr>
          <w:p>
            <w:r/>
            <w:r>
              <w:rPr>
                <w:rFonts w:ascii="Arial" w:hAnsi="Arial"/>
                <w:b w:val="0"/>
                <w:sz w:val="16"/>
              </w:rPr>
              <w:t>Ihre Geister werden in spaeterer Tradition zu boesen Geistern/Daemonen.</w:t>
            </w:r>
          </w:p>
        </w:tc>
      </w:tr>
      <w:tr>
        <w:tc>
          <w:tcPr>
            <w:tcW w:type="dxa" w:w="1800"/>
            <w:vAlign w:val="top"/>
          </w:tcPr>
          <w:p>
            <w:r/>
            <w:r>
              <w:rPr>
                <w:rFonts w:ascii="Arial" w:hAnsi="Arial"/>
                <w:b w:val="0"/>
                <w:sz w:val="16"/>
              </w:rPr>
              <w:t>Mastema</w:t>
            </w:r>
          </w:p>
        </w:tc>
        <w:tc>
          <w:tcPr>
            <w:tcW w:type="dxa" w:w="2500"/>
            <w:vAlign w:val="top"/>
          </w:tcPr>
          <w:p>
            <w:r/>
            <w:r>
              <w:rPr>
                <w:rFonts w:ascii="Arial" w:hAnsi="Arial"/>
                <w:b w:val="0"/>
                <w:sz w:val="16"/>
              </w:rPr>
              <w:t>Leiter feindlicher Geister, Versuchungs- und Pruefungsfigur</w:t>
            </w:r>
          </w:p>
        </w:tc>
        <w:tc>
          <w:tcPr>
            <w:tcW w:type="dxa" w:w="3200"/>
            <w:vAlign w:val="top"/>
          </w:tcPr>
          <w:p>
            <w:r/>
            <w:r>
              <w:rPr>
                <w:rFonts w:ascii="Arial" w:hAnsi="Arial"/>
                <w:b w:val="0"/>
                <w:sz w:val="16"/>
              </w:rPr>
              <w:t>Gut belegt in Jubilaeen</w:t>
            </w:r>
          </w:p>
        </w:tc>
        <w:tc>
          <w:tcPr>
            <w:tcW w:type="dxa" w:w="1500"/>
            <w:vAlign w:val="top"/>
          </w:tcPr>
          <w:p>
            <w:r/>
            <w:r>
              <w:rPr>
                <w:rFonts w:ascii="Arial" w:hAnsi="Arial"/>
                <w:b w:val="0"/>
                <w:sz w:val="16"/>
              </w:rPr>
              <w:t>Kein gleichrangiger Gegengott.</w:t>
            </w:r>
          </w:p>
        </w:tc>
      </w:tr>
      <w:tr>
        <w:tc>
          <w:tcPr>
            <w:tcW w:type="dxa" w:w="1800"/>
            <w:vAlign w:val="top"/>
          </w:tcPr>
          <w:p>
            <w:r/>
            <w:r>
              <w:rPr>
                <w:rFonts w:ascii="Arial" w:hAnsi="Arial"/>
                <w:b w:val="0"/>
                <w:sz w:val="16"/>
              </w:rPr>
              <w:t>Belial</w:t>
            </w:r>
          </w:p>
        </w:tc>
        <w:tc>
          <w:tcPr>
            <w:tcW w:type="dxa" w:w="2500"/>
            <w:vAlign w:val="top"/>
          </w:tcPr>
          <w:p>
            <w:r/>
            <w:r>
              <w:rPr>
                <w:rFonts w:ascii="Arial" w:hAnsi="Arial"/>
                <w:b w:val="0"/>
                <w:sz w:val="16"/>
              </w:rPr>
              <w:t>Fuehrer der Finsternis/feindliche Macht</w:t>
            </w:r>
          </w:p>
        </w:tc>
        <w:tc>
          <w:tcPr>
            <w:tcW w:type="dxa" w:w="3200"/>
            <w:vAlign w:val="top"/>
          </w:tcPr>
          <w:p>
            <w:r/>
            <w:r>
              <w:rPr>
                <w:rFonts w:ascii="Arial" w:hAnsi="Arial"/>
                <w:b w:val="0"/>
                <w:sz w:val="16"/>
              </w:rPr>
              <w:t>Gut belegt in DSS/Qumran</w:t>
            </w:r>
          </w:p>
        </w:tc>
        <w:tc>
          <w:tcPr>
            <w:tcW w:type="dxa" w:w="1500"/>
            <w:vAlign w:val="top"/>
          </w:tcPr>
          <w:p>
            <w:r/>
            <w:r>
              <w:rPr>
                <w:rFonts w:ascii="Arial" w:hAnsi="Arial"/>
                <w:b w:val="0"/>
                <w:sz w:val="16"/>
              </w:rPr>
              <w:t>Apokalyptische Gegenseite unter Gottes letzter Souveraenitaet.</w:t>
            </w:r>
          </w:p>
        </w:tc>
      </w:tr>
      <w:tr>
        <w:tc>
          <w:tcPr>
            <w:tcW w:type="dxa" w:w="1800"/>
            <w:vAlign w:val="top"/>
          </w:tcPr>
          <w:p>
            <w:r/>
            <w:r>
              <w:rPr>
                <w:rFonts w:ascii="Arial" w:hAnsi="Arial"/>
                <w:b w:val="0"/>
                <w:sz w:val="16"/>
              </w:rPr>
              <w:t>Michael/Prince of Light</w:t>
            </w:r>
          </w:p>
        </w:tc>
        <w:tc>
          <w:tcPr>
            <w:tcW w:type="dxa" w:w="2500"/>
            <w:vAlign w:val="top"/>
          </w:tcPr>
          <w:p>
            <w:r/>
            <w:r>
              <w:rPr>
                <w:rFonts w:ascii="Arial" w:hAnsi="Arial"/>
                <w:b w:val="0"/>
                <w:sz w:val="16"/>
              </w:rPr>
              <w:t>Himmlischer Fuerst und Beschuetzer</w:t>
            </w:r>
          </w:p>
        </w:tc>
        <w:tc>
          <w:tcPr>
            <w:tcW w:type="dxa" w:w="3200"/>
            <w:vAlign w:val="top"/>
          </w:tcPr>
          <w:p>
            <w:r/>
            <w:r>
              <w:rPr>
                <w:rFonts w:ascii="Arial" w:hAnsi="Arial"/>
                <w:b w:val="0"/>
                <w:sz w:val="16"/>
              </w:rPr>
              <w:t>Gut belegt in DSS und Daniel-Tradition</w:t>
            </w:r>
          </w:p>
        </w:tc>
        <w:tc>
          <w:tcPr>
            <w:tcW w:type="dxa" w:w="1500"/>
            <w:vAlign w:val="top"/>
          </w:tcPr>
          <w:p>
            <w:r/>
            <w:r>
              <w:rPr>
                <w:rFonts w:ascii="Arial" w:hAnsi="Arial"/>
                <w:b w:val="0"/>
                <w:sz w:val="16"/>
              </w:rPr>
              <w:t>Angelisierung von Schutz- und Fuerstenvorstellungen plausibel.</w:t>
            </w:r>
          </w:p>
        </w:tc>
      </w:tr>
      <w:tr>
        <w:tc>
          <w:tcPr>
            <w:tcW w:type="dxa" w:w="1800"/>
            <w:vAlign w:val="top"/>
          </w:tcPr>
          <w:p>
            <w:r/>
            <w:r>
              <w:rPr>
                <w:rFonts w:ascii="Arial" w:hAnsi="Arial"/>
                <w:b w:val="0"/>
                <w:sz w:val="16"/>
              </w:rPr>
              <w:t>Anunnaki = Elohim/Waechter</w:t>
            </w:r>
          </w:p>
        </w:tc>
        <w:tc>
          <w:tcPr>
            <w:tcW w:type="dxa" w:w="2500"/>
            <w:vAlign w:val="top"/>
          </w:tcPr>
          <w:p>
            <w:r/>
            <w:r>
              <w:rPr>
                <w:rFonts w:ascii="Arial" w:hAnsi="Arial"/>
                <w:b w:val="0"/>
                <w:sz w:val="16"/>
              </w:rPr>
              <w:t>Direkte Identitaet</w:t>
            </w:r>
          </w:p>
        </w:tc>
        <w:tc>
          <w:tcPr>
            <w:tcW w:type="dxa" w:w="3200"/>
            <w:vAlign w:val="top"/>
          </w:tcPr>
          <w:p>
            <w:r/>
            <w:r>
              <w:rPr>
                <w:rFonts w:ascii="Arial" w:hAnsi="Arial"/>
                <w:b w:val="0"/>
                <w:sz w:val="16"/>
              </w:rPr>
              <w:t>Nicht belegt</w:t>
            </w:r>
          </w:p>
        </w:tc>
        <w:tc>
          <w:tcPr>
            <w:tcW w:type="dxa" w:w="1500"/>
            <w:vAlign w:val="top"/>
          </w:tcPr>
          <w:p>
            <w:r/>
            <w:r>
              <w:rPr>
                <w:rFonts w:ascii="Arial" w:hAnsi="Arial"/>
                <w:b w:val="0"/>
                <w:sz w:val="16"/>
              </w:rPr>
              <w:t>Vergleichs- und Einflussfrage, aber keine sprachlich-historische Gleichung.</w:t>
            </w:r>
          </w:p>
        </w:tc>
      </w:tr>
    </w:tbl>
    <w:p>
      <w:pPr>
        <w:pStyle w:val="Heading2"/>
      </w:pPr>
      <w:r>
        <w:t>8. Bedeutung fuer die Hauptthese</w:t>
      </w:r>
    </w:p>
    <w:p>
      <w:r>
        <w:rPr>
          <w:rFonts w:ascii="Arial" w:hAnsi="Arial"/>
        </w:rPr>
        <w:t>Kapitel 6 stuetzt einen wichtigen Teil der These, aber in praezisierter Form. Es ist gut begruendbar, dass alte himmlische Mehrzahl nicht einfach verschwindet, sondern in andere Kategorien ueberfuehrt wird. Der goettliche Rat wird nicht als gleichberechtigter Pantheon weitergefuehrt, sondern als untergeordnete Himmelswelt: Engel, Waechter, Fuersten, boese Geister und Daemonen.</w:t>
      </w:r>
    </w:p>
    <w:p>
      <w:r>
        <w:rPr>
          <w:rFonts w:ascii="Arial" w:hAnsi="Arial"/>
        </w:rPr>
        <w:t>Nicht tragfaehig ist dagegen die harte Gleichung: Anunnaki = Elohim = Waechter = Daemonen. Dafuer fehlen direkte Textbelege, sprachliche Kontinuitaet und historische Vermittlungsnachweise. Tragfaehig ist: Im Alten Orient und fruehen Judentum existieren vergleichbare Strukturen von Goetterrat, himmlischen Wesen, kosmischen Kaempfen und nachgeordneten Maechten. Das spaetere Judentum uebersetzt solche Mehrheitsvorstellungen in monotheistische Engel- und Daemonologie.</w:t>
      </w:r>
      <w:r>
        <w:footnoteReference w:id="50"/>
      </w:r>
    </w:p>
    <w:p>
      <w:r>
        <w:rPr>
          <w:rFonts w:ascii="Arial" w:hAnsi="Arial"/>
        </w:rPr>
        <w:t>Damit wird auch die Frage nach dem kommenden Endkampf anders bewertbar: In Qumran und spaeter in christlicher Apokalyptik gibt es einen Endkampf, aber dieser ist kein offener Beweis, dass viele alte Goetter gleichrangig fortbestehen. Er zeigt vielmehr, dass monotheistische Systeme die alte Vorstellung himmlischer Parteien, Heere und Fuersten behalten koennen, ohne diese Wesen als Goetter anzuerkennen.</w:t>
      </w:r>
    </w:p>
    <w:p>
      <w:pPr>
        <w:pStyle w:val="Heading2"/>
      </w:pPr>
      <w:r>
        <w:t>9. Ergebnis und Kapitelstatus</w:t>
      </w:r>
    </w:p>
    <w:p>
      <w:r>
        <w:rPr>
          <w:rFonts w:ascii="Arial" w:hAnsi="Arial"/>
        </w:rPr>
        <w:t>Kapitel 6 liegt als druckreife Lesefassung V1 vor. Ergebnis: Die Second-Temple-Phase ist der zentrale Ort, an dem die alten Fragen nach Elohim, Soehnen Gottes, Nephilim, Engeln, Daemonen und Satanfiguren systematisch zusammenlaufen. Die Quellen sprechen fuer eine Umdeutung und Hierarchisierung himmlischer Wesen, nicht fuer eine einfache Identitaet aller Goetter unter wechselnden Namen. Besonders wichtig ist die Unterscheidung: Waechter, Belial, Mastema und Satan erklaeren die Personalisierung des Boesen im Monotheismus; sie beweisen aber keinen zweiten gleichrangigen Gott und keine direkte Fortexistenz eines alten Pantheons. Anunnaki, Nephilim und Elohim muessen deshalb als Vergleichs- und Einflussfrage geprueft werden, nicht als bereits bewiesene Gleichung.</w:t>
      </w:r>
    </w:p>
    <w:p>
      <w:pPr>
        <w:pStyle w:val="Heading2"/>
      </w:pPr>
      <w:r>
        <w:t>10. Druckreifepruefung Kapitel 6</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Second-Temple-Texte werden als Ort der Umdeutung von Ratswesen in Engel, Waechter, Daemonen und Boesesmaechte ausgewertet.</w:t>
            </w:r>
          </w:p>
        </w:tc>
      </w:tr>
      <w:tr>
        <w:tc>
          <w:tcPr>
            <w:tcW w:type="dxa" w:w="2400"/>
            <w:vAlign w:val="top"/>
          </w:tcPr>
          <w:p>
            <w:r/>
            <w:r>
              <w:rPr>
                <w:rFonts w:ascii="Arial" w:hAnsi="Arial"/>
                <w:b w:val="0"/>
                <w:sz w:val="16"/>
              </w:rPr>
              <w:t>Rueckprojektion vermieden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Erzengel, Waechter, Belial, Mastema und Satan werden nicht unkritisch in die fruehisraelitische Phase zurueckverlegt.</w:t>
            </w:r>
          </w:p>
        </w:tc>
      </w:tr>
      <w:tr>
        <w:tc>
          <w:tcPr>
            <w:tcW w:type="dxa" w:w="2400"/>
            <w:vAlign w:val="top"/>
          </w:tcPr>
          <w:p>
            <w:r/>
            <w:r>
              <w:rPr>
                <w:rFonts w:ascii="Arial" w:hAnsi="Arial"/>
                <w:b w:val="0"/>
                <w:sz w:val="16"/>
              </w:rPr>
              <w:t>Anunnaki-Abgrenzung</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Enoch-/Jubilaeen-Traditionen belegen keine Gleichung Anunnaki = Elohim.</w:t>
            </w:r>
          </w:p>
        </w:tc>
      </w:tr>
      <w:tr>
        <w:tc>
          <w:tcPr>
            <w:tcW w:type="dxa" w:w="2400"/>
            <w:vAlign w:val="top"/>
          </w:tcPr>
          <w:p>
            <w:r/>
            <w:r>
              <w:rPr>
                <w:rFonts w:ascii="Arial" w:hAnsi="Arial"/>
                <w:b w:val="0"/>
                <w:sz w:val="16"/>
              </w:rPr>
              <w:t>Boeses eingeordnet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Das Boese wird personalisiert, bleibt aber im monotheistischen Rahmen unter Gottes Oberhoheit gedacht.</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Arbeitsinterne Formulierungen wurden neutralisiert.</w:t>
            </w:r>
          </w:p>
        </w:tc>
      </w:tr>
    </w:tbl>
    <w:p>
      <w:pPr>
        <w:pStyle w:val="Heading2"/>
      </w:pPr>
      <w:r>
        <w:t>11. Quellenbasis fuer Kapitel 6</w:t>
      </w:r>
    </w:p>
    <w:p>
      <w:pPr>
        <w:pStyle w:val="ListBullet"/>
      </w:pPr>
      <w:r>
        <w:rPr>
          <w:rFonts w:ascii="Arial" w:hAnsi="Arial"/>
        </w:rPr>
        <w:t>Annette Yoshiko Reed, Demons, Angels, and Writing in Ancient Judaism, Cambridge University Press, 2020, zu Engel-/Daemonenvorstellungen, Schreiberkultur und fruehjuedischer Transformation.</w:t>
      </w:r>
    </w:p>
    <w:p>
      <w:pPr>
        <w:pStyle w:val="ListBullet"/>
      </w:pPr>
      <w:r>
        <w:rPr>
          <w:rFonts w:ascii="Arial" w:hAnsi="Arial"/>
        </w:rPr>
        <w:t>The Watchers in Jewish and Christian Traditions, Sammelband, zu Genesis 6, Waechtern, Riesen und der spaeteren Verbindung von Waechtern und Daemonen.</w:t>
      </w:r>
    </w:p>
    <w:p>
      <w:pPr>
        <w:pStyle w:val="ListBullet"/>
      </w:pPr>
      <w:r>
        <w:rPr>
          <w:rFonts w:ascii="Arial" w:hAnsi="Arial"/>
        </w:rPr>
        <w:t>George W. E. Nickelsburg, 'The Temple According to 1 Enoch', BYU Studies Quarterly 53/1, 2014, zu 1 Henoch als Sammlung fruehjuedischer Texte und himmlischer Tempel-/Engelvorstellung.</w:t>
      </w:r>
    </w:p>
    <w:p>
      <w:pPr>
        <w:pStyle w:val="ListBullet"/>
      </w:pPr>
      <w:r>
        <w:rPr>
          <w:rFonts w:ascii="Arial" w:hAnsi="Arial"/>
        </w:rPr>
        <w:t>Bennie H. Reynolds III, 'Understanding the Demonologies of the Dead Sea Scrolls', Religion Compass 7/4, 2013, DOI 10.1111/rec3.12038, zu Daemonologie der DSS und Rezeption des Buchs der Waechter.</w:t>
      </w:r>
    </w:p>
    <w:p>
      <w:pPr>
        <w:pStyle w:val="ListBullet"/>
      </w:pPr>
      <w:r>
        <w:rPr>
          <w:rFonts w:ascii="Arial" w:hAnsi="Arial"/>
        </w:rPr>
        <w:t>Israel Museum, Dead Sea Scrolls Digital Project, 'War Scroll', zu Sons of Light, Sons of Darkness, Michael/Prince of Light und Belial.</w:t>
      </w:r>
    </w:p>
    <w:p>
      <w:pPr>
        <w:pStyle w:val="ListBullet"/>
      </w:pPr>
      <w:r>
        <w:rPr>
          <w:rFonts w:ascii="Arial" w:hAnsi="Arial"/>
        </w:rPr>
        <w:t>Antoni Tronina, 'Prince Mastema and His Army in the Book of Jubilees', The Biblical Annals, DOI 10.31743/ba.16214, zu Mastema als Funktionsfigur und Heer feindlicher Geister.</w:t>
      </w:r>
    </w:p>
    <w:p>
      <w:pPr>
        <w:pStyle w:val="ListBullet"/>
      </w:pPr>
      <w:r>
        <w:rPr>
          <w:rFonts w:ascii="Arial" w:hAnsi="Arial"/>
        </w:rPr>
        <w:t>Hector M. Patmore, 'Demonology and Terminology in Jubilees', Journal for the Study of Judaism 54/2, 2023, DOI 10.1163/15700631-bja10052, zu Geister-/Daemonenterminologie im Jubilaeenbuch.</w:t>
      </w:r>
    </w:p>
    <w:p>
      <w:pPr>
        <w:pStyle w:val="ListBullet"/>
      </w:pPr>
      <w:r>
        <w:rPr>
          <w:rFonts w:ascii="Arial" w:hAnsi="Arial"/>
        </w:rPr>
        <w:t>Lynn R. Huber, Oxford Bibliographies, 'Satan', zu Entwicklung von satan, Belial, Mastema, Lucifer/Devil und der kosmischen Gegnerfigur in der Second-Temple-Phase.</w:t>
      </w:r>
    </w:p>
    <w:p>
      <w:pPr>
        <w:pStyle w:val="ListBullet"/>
      </w:pPr>
      <w:r>
        <w:rPr>
          <w:rFonts w:ascii="Arial" w:hAnsi="Arial"/>
        </w:rPr>
        <w:t>Kenneth Atkinson, 'The Three Nets of Belial in the Dead Sea Scrolls', zu Belial als Deutungsfigur in Qumran.</w:t>
      </w:r>
    </w:p>
    <w:p>
      <w:r>
        <w:br w:type="page"/>
      </w:r>
    </w:p>
    <w:p>
      <w:pPr>
        <w:pStyle w:val="Heading1"/>
      </w:pPr>
      <w:r>
        <w:t>Kapitel 7: Anunnaki, Nephilim und Vergleichsgrenzen</w:t>
      </w:r>
    </w:p>
    <w:p>
      <w:r>
        <w:rPr>
          <w:rFonts w:ascii="Arial" w:hAnsi="Arial"/>
        </w:rPr>
        <w:t>Leitfrage: Sind die Anunnaki, die biblischen Elohim, die Soehne Gottes, die Waechter und die Nephilim letztlich dieselben Wesen unter verschiedenen Namen? Die Antwort lautet: Als direkte Identitaet ist diese These nicht belegbar. Als Vergleichsfrage ist sie aber wichtig. Anunnaki und Elohim gehoeren beide zum grossen altorientalischen Themenfeld goettlicher Versammlung, himmlischer Hierarchie, Schicksalsentscheidung und uebermenschlicher Wesen. Die Texttraditionen, Sprachen, Funktionen und historischen Kontexte sind jedoch verschieden genug, dass eine Gleichsetzung quellenkritisch nicht tragfaehig ist.</w:t>
      </w:r>
      <w:r>
        <w:footnoteReference w:id="51"/>
      </w:r>
    </w:p>
    <w:p>
      <w:pPr>
        <w:pStyle w:val="Heading2"/>
      </w:pPr>
      <w:r>
        <w:t>1. Ergebnis in Kurzform</w:t>
      </w:r>
    </w:p>
    <w:p>
      <w:pPr>
        <w:pStyle w:val="ListBullet"/>
      </w:pPr>
      <w:r>
        <w:rPr>
          <w:rFonts w:ascii="Arial" w:hAnsi="Arial"/>
        </w:rPr>
        <w:t>Anunnaki/Anunna sind keine einzelne Gottheit und kein festes Volk, sondern eine wechselnd verstandene mesopotamische Gruppe von Goettern.</w:t>
      </w:r>
    </w:p>
    <w:p>
      <w:pPr>
        <w:pStyle w:val="ListBullet"/>
      </w:pPr>
      <w:r>
        <w:rPr>
          <w:rFonts w:ascii="Arial" w:hAnsi="Arial"/>
        </w:rPr>
        <w:t>Elohim ist kein Eigenname einer festen Goettergruppe, sondern ein hebraeischer Begriff, der je nach Kontext Gott Israels, Goetter, goettliche Wesen oder himmlische Wesen bezeichnen kann.</w:t>
      </w:r>
    </w:p>
    <w:p>
      <w:pPr>
        <w:pStyle w:val="ListBullet"/>
      </w:pPr>
      <w:r>
        <w:rPr>
          <w:rFonts w:ascii="Arial" w:hAnsi="Arial"/>
        </w:rPr>
        <w:t>Nephilim sind in der Hebraeischen Bibel nur in Genesis 6,4 und Numeri 13,33 genannt; ihre genaue Bedeutung bleibt strittig.</w:t>
      </w:r>
    </w:p>
    <w:p>
      <w:pPr>
        <w:pStyle w:val="ListBullet"/>
      </w:pPr>
      <w:r>
        <w:rPr>
          <w:rFonts w:ascii="Arial" w:hAnsi="Arial"/>
        </w:rPr>
        <w:t>Die Waechter sind nicht der Wortlaut von Genesis 6 selbst, sondern eine Second-Temple-Auslegung, besonders in 1 Henoch.</w:t>
      </w:r>
    </w:p>
    <w:p>
      <w:pPr>
        <w:pStyle w:val="ListBullet"/>
      </w:pPr>
      <w:r>
        <w:rPr>
          <w:rFonts w:ascii="Arial" w:hAnsi="Arial"/>
        </w:rPr>
        <w:t>Eine direkte Kette Anunnaki -&gt; Elohim -&gt; Waechter -&gt; Nephilim ist nicht belegt.</w:t>
      </w:r>
    </w:p>
    <w:p>
      <w:pPr>
        <w:pStyle w:val="ListBullet"/>
      </w:pPr>
      <w:r>
        <w:rPr>
          <w:rFonts w:ascii="Arial" w:hAnsi="Arial"/>
        </w:rPr>
        <w:t>Tragfaehig ist: Mesopotamische, westsemitische und fruehjuedische Traditionen teilen Motive wie Goetterrat, himmlische Wesen, Riesen, Urzeitgewalt, verbotene Weisheit, Flut und nachgeordnete Geister.</w:t>
      </w:r>
    </w:p>
    <w:p>
      <w:pPr>
        <w:pStyle w:val="Heading2"/>
      </w:pPr>
      <w:r>
        <w:t>2. Was die Anunnaki in den Quellen sind</w:t>
      </w:r>
    </w:p>
    <w:p>
      <w:r>
        <w:rPr>
          <w:rFonts w:ascii="Arial" w:hAnsi="Arial"/>
        </w:rPr>
        <w:t>ORACC beschreibt Anunna/Anunnaki als eine Gruppe von Goettern im mesopotamischen Pantheon. Der Begriff hat je nach Zeit, Text und Ort unterschiedliche Bedeutungen: Er kann die hohen Goetter meinen, die Goetter einer Stadt oder eines Stadtstaates, Schicksalsentscheider oder spaeter verstaerkt Unterweltsgoetter. Schon dieser Befund ist wichtig: Die Anunnaki sind keine feste Liste von sieben, zwoelf oder bestimmten Personen, sondern ein beweglicher Sammelbegriff.</w:t>
      </w:r>
      <w:r>
        <w:footnoteReference w:id="52"/>
      </w:r>
    </w:p>
    <w:p>
      <w:r>
        <w:rPr>
          <w:rFonts w:ascii="Arial" w:hAnsi="Arial"/>
        </w:rPr>
        <w:t>In sumerischen Quellen kann Anunna die hoechsten Goetter bezeichnen; in anderen Kontexten erscheinen sie als die Anunna von Eridu oder Lagasch. Eine ihrer wichtigen Funktionen ist das Entscheiden von Schicksalen. In Inannas Gang in die Unterwelt erscheinen die Anunna als sieben Richter. Im spaeteren Enuma Elish ordnet Marduk die Anunnaki nach seinem Sieg und stellt 300 fuer den Himmel und 300 fuer die Unterwelt auf. Das zeigt eine starke Hierarchisierung, aber innerhalb eines mesopotamischen Pantheons.</w:t>
      </w:r>
      <w:r>
        <w:footnoteReference w:id="53"/>
      </w:r>
    </w:p>
    <w:p>
      <w:r>
        <w:rPr>
          <w:rFonts w:ascii="Arial" w:hAnsi="Arial"/>
        </w:rPr>
        <w:t>Fuer die Ausarbeitung folgt daraus: Die Anunnaki sind sehr gut fuer Vergleichsfragen geeignet, weil sie eine goettliche Gruppe, Rat-/Gerichtsfunktionen und spaeter auch Unterweltsfunktionen verbinden. Sie sind aber nicht automatisch dasselbe wie die biblischen Elohim. Dafuer fehlen gemeinsame Sprache, direkte Ueberlieferungskette und biblische Identifikation.</w:t>
      </w:r>
    </w:p>
    <w:p>
      <w:pPr>
        <w:pStyle w:val="Heading3"/>
      </w:pPr>
      <w:r>
        <w:t>2.1 Abgrenzung gegen moderne Anunnaki-Gleichsetzungen</w:t>
      </w:r>
    </w:p>
    <w:p>
      <w:r>
        <w:rPr>
          <w:rFonts w:ascii="Arial" w:hAnsi="Arial"/>
        </w:rPr>
        <w:t>Ein wichtiger methodischer Punkt ist die Trennung zwischen antiken Quellen und modernen Deutungen. In den mesopotamischen Texten sind Anunna/Anunnaki Goettergruppen innerhalb eines polytheistischen Pantheons. Sie sind nicht als ausserirdisches Volk, technische Zivilisation oder direkte biblische Riesenrasse belegt. Solche Lesarten gehoeren in die moderne Rezeptionsgeschichte und koennen als kulturelles Phaenomen analysiert werden, duerfen aber nicht als Befund der Keilschrifttexte ausgegeben werden.</w:t>
      </w:r>
    </w:p>
    <w:p>
      <w:r>
        <w:rPr>
          <w:rFonts w:ascii="Arial" w:hAnsi="Arial"/>
        </w:rPr>
        <w:t>Damit wird die Prae-Astronautik-Frage nicht ignoriert, sondern sauber separiert. Fuer die wissenschaftliche Hauptausarbeitung gilt: Zuerst werden Sprache, Textgattung, Datierung und Funktion der antiken Quellen beschrieben; erst danach duerfen moderne Analogien oder spekulative Lesarten als spaetere Rezeption markiert werden. Diese Regel schuetzt die Kernthese davor, durch unbelegte Gleichsetzungen angreifbar zu werden.</w:t>
      </w:r>
    </w:p>
    <w:p>
      <w:pPr>
        <w:pStyle w:val="Heading2"/>
      </w:pPr>
      <w:r>
        <w:t>3. Elohim ist Kategorie, nicht automatisch Pantheonname</w:t>
      </w:r>
    </w:p>
    <w:p>
      <w:r>
        <w:rPr>
          <w:rFonts w:ascii="Arial" w:hAnsi="Arial"/>
        </w:rPr>
        <w:t>Elohim funktioniert anders als Anunnaki. Anunnaki ist ein mesopotamischer Gruppenbegriff. Elohim ist ein hebraeisches Wort, das je nach grammatischem und literarischem Kontext verschieden verwendet wird. Mit singularischem Verb kann es den Gott Israels bezeichnen; pluralisch kann es Goetter oder goettliche Wesen bezeichnen. In Texten wie Psalm 82, Deuteronomium 32 in aelterer Lesart, 1 Koenige 22 und Hiob 1-2 bleibt die Vorstellung eines himmlischen Rates sichtbar.</w:t>
      </w:r>
      <w:r>
        <w:footnoteReference w:id="54"/>
      </w:r>
    </w:p>
    <w:p>
      <w:r>
        <w:rPr>
          <w:rFonts w:ascii="Arial" w:hAnsi="Arial"/>
        </w:rPr>
        <w:t>Das bedeutet: Der Vergleich Anunnaki/Elohim ist sinnvoll, wenn man ihn strukturell fuehrt. Beide zeigen, dass alte Religionen nicht nur einzelne Goetter, sondern goettliche Versammlungen, Rangordnungen und Funktionsgruppen kennen. Die Gleichung 'Elohim sind die hebraeischen Anunnaki' ist dagegen zu stark. Elohim ist nicht der Name einer mesopotamischen Gruppe, sondern eine semitische Bezeichnungskategorie.</w:t>
      </w:r>
    </w:p>
    <w:p>
      <w:pPr>
        <w:pStyle w:val="Heading2"/>
      </w:pPr>
      <w:r>
        <w:t>4. Nephilim: Riesen, Vorzeithelden oder Erzaehlbruecke zur Landnahme?</w:t>
      </w:r>
    </w:p>
    <w:p>
      <w:r>
        <w:rPr>
          <w:rFonts w:ascii="Arial" w:hAnsi="Arial"/>
        </w:rPr>
        <w:t>Die Nephilim erscheinen in der Hebraeischen Bibel nur an zwei Stellen: Genesis 6,4 und Numeri 13,33. Genesis 6 verbindet sie mit der Vorzeit, den Soehnen Gottes und den 'Maennern von Namen'. Numeri 13 verbindet sie mit den Anakim und der Furcht vor riesenhaften Bewohnern des Landes. Dieser zweite Befund ist entscheidend, weil er die Nephilim nicht nur in die Urgeschichte, sondern auch in die Landnahme- und Riesenvoelkertraditionen stellt.</w:t>
      </w:r>
      <w:r>
        <w:footnoteReference w:id="55"/>
      </w:r>
    </w:p>
    <w:p>
      <w:r>
        <w:rPr>
          <w:rFonts w:ascii="Arial" w:hAnsi="Arial"/>
        </w:rPr>
        <w:t>Die Forschung ist hier nicht einheitlich. Aeltere und Second-Temple-Traditionen lesen Genesis 6 haeufig als Geschichte himmlischer Wesen und menschlicher Frauen. Neuere literargeschichtliche Deutungen, etwa Ki-Eun Jang, betonen, dass Genesis 6,1-4 nicht nur als Flutvorgeschichte, sondern als Vorbereitung auf Landverheissung, Landnahme und die spaeteren Riesen-/Rephaim-/Anakim-Traditionen gelesen werden kann. Danach sind die Nephilim nicht zwingend goettlich inspirierte Wesen, sondern mit vorisraelitischen Gruppen grosser Koerpergroesse und deren literarischer Verarbeitung verbunden.</w:t>
      </w:r>
      <w:r>
        <w:footnoteReference w:id="56"/>
      </w:r>
    </w:p>
    <w:p>
      <w:r>
        <w:rPr>
          <w:rFonts w:ascii="Arial" w:hAnsi="Arial"/>
        </w:rPr>
        <w:t>Fuer die These ist das wichtig: Nephilim sind nicht dasselbe wie Anunnaki. Sie sind auch nicht sicher dieselben wie die Soehne Gottes. Der Text kann so gelesen werden, dass die Nephilim aus der Verbindung der Soehne Gottes mit Menschenfrauen hervorgehen; er kann aber auch vorsichtiger gelesen werden, dass sie in jener Zeit ebenfalls existierten und spaeter mit Riesen-/Anakim-Traditionen verbunden wurden. Beide Lesarten muessen im Dossier offen markiert bleiben.</w:t>
      </w:r>
    </w:p>
    <w:p>
      <w:pPr>
        <w:pStyle w:val="Heading3"/>
      </w:pPr>
      <w:r>
        <w:t>4.1 Was sich konkret beantworten laesst</w:t>
      </w:r>
    </w:p>
    <w:p>
      <w:pPr>
        <w:pStyle w:val="ListBullet"/>
      </w:pPr>
      <w:r>
        <w:rPr>
          <w:rFonts w:ascii="Arial" w:hAnsi="Arial"/>
        </w:rPr>
        <w:t>Sind Nephilim sicher Anunnaki? Nein. Die Bibel nennt Anunnaki nicht; Genesis 6 und Numeri 13 verwenden eine eigene hebraeische Traditionssprache.</w:t>
      </w:r>
    </w:p>
    <w:p>
      <w:pPr>
        <w:pStyle w:val="ListBullet"/>
      </w:pPr>
      <w:r>
        <w:rPr>
          <w:rFonts w:ascii="Arial" w:hAnsi="Arial"/>
        </w:rPr>
        <w:t>Sind Nephilim sicher Kinder der Soehne Gottes? Moeglich, aber nicht zwingend. Genesis 6,4 laesst grammatisch und literarisch Spielraum; 1 Henoch legt die himmlische Abstammung spaeter stark aus.</w:t>
      </w:r>
    </w:p>
    <w:p>
      <w:pPr>
        <w:pStyle w:val="ListBullet"/>
      </w:pPr>
      <w:r>
        <w:rPr>
          <w:rFonts w:ascii="Arial" w:hAnsi="Arial"/>
        </w:rPr>
        <w:t>Sind die Waechter bereits in Genesis 6 genannt? Nein. 'Waechter' ist die ausgebaute fruehjuedische/Second-Temple-Deutung, besonders in 1 Henoch.</w:t>
      </w:r>
    </w:p>
    <w:p>
      <w:pPr>
        <w:pStyle w:val="ListBullet"/>
      </w:pPr>
      <w:r>
        <w:rPr>
          <w:rFonts w:ascii="Arial" w:hAnsi="Arial"/>
        </w:rPr>
        <w:t>Gibt es einen echten Zusammenhang mit Mesopotamien? Ja, als Motivraum: Urzeit, Flut, Riesen/Helden, goettliche Wesen und Grenzverletzung. Nein, als direkte Namensgleichung.</w:t>
      </w:r>
    </w:p>
    <w:p>
      <w:pPr>
        <w:pStyle w:val="ListBullet"/>
      </w:pPr>
      <w:r>
        <w:rPr>
          <w:rFonts w:ascii="Arial" w:hAnsi="Arial"/>
        </w:rPr>
        <w:t>Ist Gilgamesch deshalb ein Nephilim? In antiken Primärtexten nicht. Gilgamesch ist ein mesopotamischer Heroenkoenig; spaetere Vergleichbarkeit ersetzt keine biblische Identifikation.</w:t>
      </w:r>
    </w:p>
    <w:p>
      <w:pPr>
        <w:pStyle w:val="Heading2"/>
      </w:pPr>
      <w:r>
        <w:t>5. Wo echte Parallelen liegen</w:t>
      </w:r>
    </w:p>
    <w:p>
      <w:r>
        <w:rPr>
          <w:rFonts w:ascii="Arial" w:hAnsi="Arial"/>
        </w:rPr>
        <w:t>Die Parallelen liegen weniger in direkter Namensidentitaet, sondern in gemeinsamen Motiven. Erstens kennen mesopotamische, kanaanaeische und biblische Texte goettliche Versammlungen oder himmlische Ratsstrukturen. Zweitens verbinden mehrere altorientalische Traditionen Urzeit, Gewalt, grosse Helden, Riesen, Flut und goettliche Grenzverletzung. Drittens werden in spaeteren Texten himmlische Wesen zunehmend hierarchisiert, untergeordnet oder daemonisiert. Viertens ist die Vorstellung verbreitet, dass Goetter oder goettliche Wesen menschliche Ordnung, Koenigtum, Schicksal oder Gericht beeinflussen.</w:t>
      </w:r>
      <w:r>
        <w:footnoteReference w:id="57"/>
      </w:r>
    </w:p>
    <w:p>
      <w:r>
        <w:rPr>
          <w:rFonts w:ascii="Arial" w:hAnsi="Arial"/>
        </w:rPr>
        <w:t>Diese Parallelen reichen fuer eine starke Vergleichsthese: Die biblischen Texte stehen im altorientalischen Motivraum. Sie verarbeiten Themen, die auch Mesopotamien kennt: Urzeit, Flut, goettliche Entscheidung, Riesen/Helden, himmlische Wesen und die Ordnung der Welt. Sie reichen aber nicht fuer die Identitaetsthese: Derselbe Gott oder dieselbe Gruppe sei nur unter anderem Namen weitergewandert.</w:t>
      </w:r>
    </w:p>
    <w:p>
      <w:pPr>
        <w:pStyle w:val="Heading3"/>
      </w:pPr>
      <w:r>
        <w:t>5.1 Vergleichsmatrix der Motivfelder</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Motivfeld</w:t>
            </w:r>
          </w:p>
        </w:tc>
        <w:tc>
          <w:tcPr>
            <w:tcW w:type="dxa" w:w="2500"/>
            <w:vAlign w:val="top"/>
            <w:shd w:fill="F1F3F4"/>
          </w:tcPr>
          <w:p>
            <w:r/>
            <w:r>
              <w:rPr>
                <w:rFonts w:ascii="Arial" w:hAnsi="Arial"/>
                <w:b/>
                <w:sz w:val="16"/>
              </w:rPr>
              <w:t>Mesopotamischer Befund</w:t>
            </w:r>
          </w:p>
        </w:tc>
        <w:tc>
          <w:tcPr>
            <w:tcW w:type="dxa" w:w="3200"/>
            <w:vAlign w:val="top"/>
            <w:shd w:fill="F1F3F4"/>
          </w:tcPr>
          <w:p>
            <w:r/>
            <w:r>
              <w:rPr>
                <w:rFonts w:ascii="Arial" w:hAnsi="Arial"/>
                <w:b/>
                <w:sz w:val="16"/>
              </w:rPr>
              <w:t>Biblisch/fruehjuedischer Befund</w:t>
            </w:r>
          </w:p>
        </w:tc>
        <w:tc>
          <w:tcPr>
            <w:tcW w:type="dxa" w:w="1500"/>
            <w:vAlign w:val="top"/>
            <w:shd w:fill="F1F3F4"/>
          </w:tcPr>
          <w:p>
            <w:r/>
            <w:r>
              <w:rPr>
                <w:rFonts w:ascii="Arial" w:hAnsi="Arial"/>
                <w:b/>
                <w:sz w:val="16"/>
              </w:rPr>
              <w:t>Bewertung</w:t>
            </w:r>
          </w:p>
        </w:tc>
      </w:tr>
      <w:tr>
        <w:tc>
          <w:tcPr>
            <w:tcW w:type="dxa" w:w="1800"/>
            <w:vAlign w:val="top"/>
          </w:tcPr>
          <w:p>
            <w:r/>
            <w:r>
              <w:rPr>
                <w:rFonts w:ascii="Arial" w:hAnsi="Arial"/>
                <w:b w:val="0"/>
                <w:sz w:val="16"/>
              </w:rPr>
              <w:t>Goettliche Versammlung</w:t>
            </w:r>
          </w:p>
        </w:tc>
        <w:tc>
          <w:tcPr>
            <w:tcW w:type="dxa" w:w="2500"/>
            <w:vAlign w:val="top"/>
          </w:tcPr>
          <w:p>
            <w:r/>
            <w:r>
              <w:rPr>
                <w:rFonts w:ascii="Arial" w:hAnsi="Arial"/>
                <w:b w:val="0"/>
                <w:sz w:val="16"/>
              </w:rPr>
              <w:t>Anunna/Anunnaki als Goettergruppe; An/Anu, Enlil, Marduk und Pantheonordnungen.</w:t>
            </w:r>
          </w:p>
        </w:tc>
        <w:tc>
          <w:tcPr>
            <w:tcW w:type="dxa" w:w="3200"/>
            <w:vAlign w:val="top"/>
          </w:tcPr>
          <w:p>
            <w:r/>
            <w:r>
              <w:rPr>
                <w:rFonts w:ascii="Arial" w:hAnsi="Arial"/>
                <w:b w:val="0"/>
                <w:sz w:val="16"/>
              </w:rPr>
              <w:t>Elohim/Soehne Gottes/goettlicher Rat in Ps 82, Dtn 32, 1 Koen 22.</w:t>
            </w:r>
          </w:p>
        </w:tc>
        <w:tc>
          <w:tcPr>
            <w:tcW w:type="dxa" w:w="1500"/>
            <w:vAlign w:val="top"/>
          </w:tcPr>
          <w:p>
            <w:r/>
            <w:r>
              <w:rPr>
                <w:rFonts w:ascii="Arial" w:hAnsi="Arial"/>
                <w:b w:val="0"/>
                <w:sz w:val="16"/>
              </w:rPr>
              <w:t>Strukturell vergleichbar, nicht identisch.</w:t>
            </w:r>
          </w:p>
        </w:tc>
      </w:tr>
      <w:tr>
        <w:tc>
          <w:tcPr>
            <w:tcW w:type="dxa" w:w="1800"/>
            <w:vAlign w:val="top"/>
          </w:tcPr>
          <w:p>
            <w:r/>
            <w:r>
              <w:rPr>
                <w:rFonts w:ascii="Arial" w:hAnsi="Arial"/>
                <w:b w:val="0"/>
                <w:sz w:val="16"/>
              </w:rPr>
              <w:t>Schicksal und Gericht</w:t>
            </w:r>
          </w:p>
        </w:tc>
        <w:tc>
          <w:tcPr>
            <w:tcW w:type="dxa" w:w="2500"/>
            <w:vAlign w:val="top"/>
          </w:tcPr>
          <w:p>
            <w:r/>
            <w:r>
              <w:rPr>
                <w:rFonts w:ascii="Arial" w:hAnsi="Arial"/>
                <w:b w:val="0"/>
                <w:sz w:val="16"/>
              </w:rPr>
              <w:t>Anunna entscheiden Schicksale; in Unterwelttexten auch Richterfunktion.</w:t>
            </w:r>
          </w:p>
        </w:tc>
        <w:tc>
          <w:tcPr>
            <w:tcW w:type="dxa" w:w="3200"/>
            <w:vAlign w:val="top"/>
          </w:tcPr>
          <w:p>
            <w:r/>
            <w:r>
              <w:rPr>
                <w:rFonts w:ascii="Arial" w:hAnsi="Arial"/>
                <w:b w:val="0"/>
                <w:sz w:val="16"/>
              </w:rPr>
              <w:t>JHWH/goettlicher Rat richtet; spaeter himmlischer Gerichtshof.</w:t>
            </w:r>
          </w:p>
        </w:tc>
        <w:tc>
          <w:tcPr>
            <w:tcW w:type="dxa" w:w="1500"/>
            <w:vAlign w:val="top"/>
          </w:tcPr>
          <w:p>
            <w:r/>
            <w:r>
              <w:rPr>
                <w:rFonts w:ascii="Arial" w:hAnsi="Arial"/>
                <w:b w:val="0"/>
                <w:sz w:val="16"/>
              </w:rPr>
              <w:t>Vergleichbares Funktionsfeld.</w:t>
            </w:r>
          </w:p>
        </w:tc>
      </w:tr>
      <w:tr>
        <w:tc>
          <w:tcPr>
            <w:tcW w:type="dxa" w:w="1800"/>
            <w:vAlign w:val="top"/>
          </w:tcPr>
          <w:p>
            <w:r/>
            <w:r>
              <w:rPr>
                <w:rFonts w:ascii="Arial" w:hAnsi="Arial"/>
                <w:b w:val="0"/>
                <w:sz w:val="16"/>
              </w:rPr>
              <w:t>Urzeit und Flut</w:t>
            </w:r>
          </w:p>
        </w:tc>
        <w:tc>
          <w:tcPr>
            <w:tcW w:type="dxa" w:w="2500"/>
            <w:vAlign w:val="top"/>
          </w:tcPr>
          <w:p>
            <w:r/>
            <w:r>
              <w:rPr>
                <w:rFonts w:ascii="Arial" w:hAnsi="Arial"/>
                <w:b w:val="0"/>
                <w:sz w:val="16"/>
              </w:rPr>
              <w:t>Mesopotamische Flut- und Urzeittraditionen; Enuma Elish/Atrahasis/Gilgamesch-Kontext.</w:t>
            </w:r>
          </w:p>
        </w:tc>
        <w:tc>
          <w:tcPr>
            <w:tcW w:type="dxa" w:w="3200"/>
            <w:vAlign w:val="top"/>
          </w:tcPr>
          <w:p>
            <w:r/>
            <w:r>
              <w:rPr>
                <w:rFonts w:ascii="Arial" w:hAnsi="Arial"/>
                <w:b w:val="0"/>
                <w:sz w:val="16"/>
              </w:rPr>
              <w:t>Genesis 6-9; Nephilim stehen im Umfeld von Urzeit und Flut.</w:t>
            </w:r>
          </w:p>
        </w:tc>
        <w:tc>
          <w:tcPr>
            <w:tcW w:type="dxa" w:w="1500"/>
            <w:vAlign w:val="top"/>
          </w:tcPr>
          <w:p>
            <w:r/>
            <w:r>
              <w:rPr>
                <w:rFonts w:ascii="Arial" w:hAnsi="Arial"/>
                <w:b w:val="0"/>
                <w:sz w:val="16"/>
              </w:rPr>
              <w:t>Literarischer Einfluss/Traditionsnaehe plausibel.</w:t>
            </w:r>
          </w:p>
        </w:tc>
      </w:tr>
      <w:tr>
        <w:tc>
          <w:tcPr>
            <w:tcW w:type="dxa" w:w="1800"/>
            <w:vAlign w:val="top"/>
          </w:tcPr>
          <w:p>
            <w:r/>
            <w:r>
              <w:rPr>
                <w:rFonts w:ascii="Arial" w:hAnsi="Arial"/>
                <w:b w:val="0"/>
                <w:sz w:val="16"/>
              </w:rPr>
              <w:t>Riesen/Helden</w:t>
            </w:r>
          </w:p>
        </w:tc>
        <w:tc>
          <w:tcPr>
            <w:tcW w:type="dxa" w:w="2500"/>
            <w:vAlign w:val="top"/>
          </w:tcPr>
          <w:p>
            <w:r/>
            <w:r>
              <w:rPr>
                <w:rFonts w:ascii="Arial" w:hAnsi="Arial"/>
                <w:b w:val="0"/>
                <w:sz w:val="16"/>
              </w:rPr>
              <w:t>Mesopotamische Heroen wie Gilgamesch; grosse Koenigs- und Vorzeitfiguren.</w:t>
            </w:r>
          </w:p>
        </w:tc>
        <w:tc>
          <w:tcPr>
            <w:tcW w:type="dxa" w:w="3200"/>
            <w:vAlign w:val="top"/>
          </w:tcPr>
          <w:p>
            <w:r/>
            <w:r>
              <w:rPr>
                <w:rFonts w:ascii="Arial" w:hAnsi="Arial"/>
                <w:b w:val="0"/>
                <w:sz w:val="16"/>
              </w:rPr>
              <w:t>Nephilim, Anakim, Rephaim, spaetere Riesenvoelkertraditionen.</w:t>
            </w:r>
          </w:p>
        </w:tc>
        <w:tc>
          <w:tcPr>
            <w:tcW w:type="dxa" w:w="1500"/>
            <w:vAlign w:val="top"/>
          </w:tcPr>
          <w:p>
            <w:r/>
            <w:r>
              <w:rPr>
                <w:rFonts w:ascii="Arial" w:hAnsi="Arial"/>
                <w:b w:val="0"/>
                <w:sz w:val="16"/>
              </w:rPr>
              <w:t>Motivvergleich ja; keine direkte Namensgleichung.</w:t>
            </w:r>
          </w:p>
        </w:tc>
      </w:tr>
      <w:tr>
        <w:tc>
          <w:tcPr>
            <w:tcW w:type="dxa" w:w="1800"/>
            <w:vAlign w:val="top"/>
          </w:tcPr>
          <w:p>
            <w:r/>
            <w:r>
              <w:rPr>
                <w:rFonts w:ascii="Arial" w:hAnsi="Arial"/>
                <w:b w:val="0"/>
                <w:sz w:val="16"/>
              </w:rPr>
              <w:t>Himmlische Grenzverletzung</w:t>
            </w:r>
          </w:p>
        </w:tc>
        <w:tc>
          <w:tcPr>
            <w:tcW w:type="dxa" w:w="2500"/>
            <w:vAlign w:val="top"/>
          </w:tcPr>
          <w:p>
            <w:r/>
            <w:r>
              <w:rPr>
                <w:rFonts w:ascii="Arial" w:hAnsi="Arial"/>
                <w:b w:val="0"/>
                <w:sz w:val="16"/>
              </w:rPr>
              <w:t>Goetter interagieren mit Menschen in Mythos und Koenigtumsideologie.</w:t>
            </w:r>
          </w:p>
        </w:tc>
        <w:tc>
          <w:tcPr>
            <w:tcW w:type="dxa" w:w="3200"/>
            <w:vAlign w:val="top"/>
          </w:tcPr>
          <w:p>
            <w:r/>
            <w:r>
              <w:rPr>
                <w:rFonts w:ascii="Arial" w:hAnsi="Arial"/>
                <w:b w:val="0"/>
                <w:sz w:val="16"/>
              </w:rPr>
              <w:t>Gen 6/1 Henoch: Soehne Gottes/Waechter und Menschentoechter.</w:t>
            </w:r>
          </w:p>
        </w:tc>
        <w:tc>
          <w:tcPr>
            <w:tcW w:type="dxa" w:w="1500"/>
            <w:vAlign w:val="top"/>
          </w:tcPr>
          <w:p>
            <w:r/>
            <w:r>
              <w:rPr>
                <w:rFonts w:ascii="Arial" w:hAnsi="Arial"/>
                <w:b w:val="0"/>
                <w:sz w:val="16"/>
              </w:rPr>
              <w:t>Aehnliches Problemfeld; unterschiedliche Texttraditionen.</w:t>
            </w:r>
          </w:p>
        </w:tc>
      </w:tr>
      <w:tr>
        <w:tc>
          <w:tcPr>
            <w:tcW w:type="dxa" w:w="1800"/>
            <w:vAlign w:val="top"/>
          </w:tcPr>
          <w:p>
            <w:r/>
            <w:r>
              <w:rPr>
                <w:rFonts w:ascii="Arial" w:hAnsi="Arial"/>
                <w:b w:val="0"/>
                <w:sz w:val="16"/>
              </w:rPr>
              <w:t>Nachgeordnete Geister</w:t>
            </w:r>
          </w:p>
        </w:tc>
        <w:tc>
          <w:tcPr>
            <w:tcW w:type="dxa" w:w="2500"/>
            <w:vAlign w:val="top"/>
          </w:tcPr>
          <w:p>
            <w:r/>
            <w:r>
              <w:rPr>
                <w:rFonts w:ascii="Arial" w:hAnsi="Arial"/>
                <w:b w:val="0"/>
                <w:sz w:val="16"/>
              </w:rPr>
              <w:t>Unterweltsgoetter, Richter, Daemonen in mesopotamischer Ordnung.</w:t>
            </w:r>
          </w:p>
        </w:tc>
        <w:tc>
          <w:tcPr>
            <w:tcW w:type="dxa" w:w="3200"/>
            <w:vAlign w:val="top"/>
          </w:tcPr>
          <w:p>
            <w:r/>
            <w:r>
              <w:rPr>
                <w:rFonts w:ascii="Arial" w:hAnsi="Arial"/>
                <w:b w:val="0"/>
                <w:sz w:val="16"/>
              </w:rPr>
              <w:t>Waechter, boese Geister, Daemonen in Second-Temple-Literatur.</w:t>
            </w:r>
          </w:p>
        </w:tc>
        <w:tc>
          <w:tcPr>
            <w:tcW w:type="dxa" w:w="1500"/>
            <w:vAlign w:val="top"/>
          </w:tcPr>
          <w:p>
            <w:r/>
            <w:r>
              <w:rPr>
                <w:rFonts w:ascii="Arial" w:hAnsi="Arial"/>
                <w:b w:val="0"/>
                <w:sz w:val="16"/>
              </w:rPr>
              <w:t>Spaetere Umdeutung vergleichbar, nicht dieselbe Gruppe.</w:t>
            </w:r>
          </w:p>
        </w:tc>
      </w:tr>
    </w:tbl>
    <w:p>
      <w:r>
        <w:br w:type="page"/>
      </w:r>
    </w:p>
    <w:p>
      <w:pPr>
        <w:pStyle w:val="Heading2"/>
      </w:pPr>
      <w:r>
        <w:t>6. Bewertungsmatrix: Vergleich, Einfluss oder Identitaet?</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Begriff</w:t>
            </w:r>
          </w:p>
        </w:tc>
        <w:tc>
          <w:tcPr>
            <w:tcW w:type="dxa" w:w="2500"/>
            <w:vAlign w:val="top"/>
            <w:shd w:fill="F1F3F4"/>
          </w:tcPr>
          <w:p>
            <w:r/>
            <w:r>
              <w:rPr>
                <w:rFonts w:ascii="Arial" w:hAnsi="Arial"/>
                <w:b/>
                <w:sz w:val="16"/>
              </w:rPr>
              <w:t>Funktion/Rolle</w:t>
            </w:r>
          </w:p>
        </w:tc>
        <w:tc>
          <w:tcPr>
            <w:tcW w:type="dxa" w:w="3200"/>
            <w:vAlign w:val="top"/>
            <w:shd w:fill="F1F3F4"/>
          </w:tcPr>
          <w:p>
            <w:r/>
            <w:r>
              <w:rPr>
                <w:rFonts w:ascii="Arial" w:hAnsi="Arial"/>
                <w:b/>
                <w:sz w:val="16"/>
              </w:rPr>
              <w:t>Bewertung</w:t>
            </w:r>
          </w:p>
        </w:tc>
        <w:tc>
          <w:tcPr>
            <w:tcW w:type="dxa" w:w="1500"/>
            <w:vAlign w:val="top"/>
            <w:shd w:fill="F1F3F4"/>
          </w:tcPr>
          <w:p>
            <w:r/>
            <w:r>
              <w:rPr>
                <w:rFonts w:ascii="Arial" w:hAnsi="Arial"/>
                <w:b/>
                <w:sz w:val="16"/>
              </w:rPr>
              <w:t>Arbeitsregel</w:t>
            </w:r>
          </w:p>
        </w:tc>
      </w:tr>
      <w:tr>
        <w:tc>
          <w:tcPr>
            <w:tcW w:type="dxa" w:w="1800"/>
            <w:vAlign w:val="top"/>
          </w:tcPr>
          <w:p>
            <w:r/>
            <w:r>
              <w:rPr>
                <w:rFonts w:ascii="Arial" w:hAnsi="Arial"/>
                <w:b w:val="0"/>
                <w:sz w:val="16"/>
              </w:rPr>
              <w:t>Anunnaki/Anunna</w:t>
            </w:r>
          </w:p>
        </w:tc>
        <w:tc>
          <w:tcPr>
            <w:tcW w:type="dxa" w:w="2500"/>
            <w:vAlign w:val="top"/>
          </w:tcPr>
          <w:p>
            <w:r/>
            <w:r>
              <w:rPr>
                <w:rFonts w:ascii="Arial" w:hAnsi="Arial"/>
                <w:b w:val="0"/>
                <w:sz w:val="16"/>
              </w:rPr>
              <w:t>Mesopotamische Goettergruppe; hohe Goetter, Stadtpantheon, Schicksalsentscheider, spaeter Unterweltsgoetter</w:t>
            </w:r>
          </w:p>
        </w:tc>
        <w:tc>
          <w:tcPr>
            <w:tcW w:type="dxa" w:w="3200"/>
            <w:vAlign w:val="top"/>
          </w:tcPr>
          <w:p>
            <w:r/>
            <w:r>
              <w:rPr>
                <w:rFonts w:ascii="Arial" w:hAnsi="Arial"/>
                <w:b w:val="0"/>
                <w:sz w:val="16"/>
              </w:rPr>
              <w:t>Gut belegt</w:t>
            </w:r>
          </w:p>
        </w:tc>
        <w:tc>
          <w:tcPr>
            <w:tcW w:type="dxa" w:w="1500"/>
            <w:vAlign w:val="top"/>
          </w:tcPr>
          <w:p>
            <w:r/>
            <w:r>
              <w:rPr>
                <w:rFonts w:ascii="Arial" w:hAnsi="Arial"/>
                <w:b w:val="0"/>
                <w:sz w:val="16"/>
              </w:rPr>
              <w:t>ORACC, Enuma Elish, Inanna-Unterwelt-Tradition.</w:t>
            </w:r>
          </w:p>
        </w:tc>
      </w:tr>
      <w:tr>
        <w:tc>
          <w:tcPr>
            <w:tcW w:type="dxa" w:w="1800"/>
            <w:vAlign w:val="top"/>
          </w:tcPr>
          <w:p>
            <w:r/>
            <w:r>
              <w:rPr>
                <w:rFonts w:ascii="Arial" w:hAnsi="Arial"/>
                <w:b w:val="0"/>
                <w:sz w:val="16"/>
              </w:rPr>
              <w:t>Elohim</w:t>
            </w:r>
          </w:p>
        </w:tc>
        <w:tc>
          <w:tcPr>
            <w:tcW w:type="dxa" w:w="2500"/>
            <w:vAlign w:val="top"/>
          </w:tcPr>
          <w:p>
            <w:r/>
            <w:r>
              <w:rPr>
                <w:rFonts w:ascii="Arial" w:hAnsi="Arial"/>
                <w:b w:val="0"/>
                <w:sz w:val="16"/>
              </w:rPr>
              <w:t>Hebraeische Kategorie fuer Gott, Goetter oder goettliche Wesen</w:t>
            </w:r>
          </w:p>
        </w:tc>
        <w:tc>
          <w:tcPr>
            <w:tcW w:type="dxa" w:w="3200"/>
            <w:vAlign w:val="top"/>
          </w:tcPr>
          <w:p>
            <w:r/>
            <w:r>
              <w:rPr>
                <w:rFonts w:ascii="Arial" w:hAnsi="Arial"/>
                <w:b w:val="0"/>
                <w:sz w:val="16"/>
              </w:rPr>
              <w:t>Gut belegt</w:t>
            </w:r>
          </w:p>
        </w:tc>
        <w:tc>
          <w:tcPr>
            <w:tcW w:type="dxa" w:w="1500"/>
            <w:vAlign w:val="top"/>
          </w:tcPr>
          <w:p>
            <w:r/>
            <w:r>
              <w:rPr>
                <w:rFonts w:ascii="Arial" w:hAnsi="Arial"/>
                <w:b w:val="0"/>
                <w:sz w:val="16"/>
              </w:rPr>
              <w:t>Grammatik und Kontext entscheiden; kein fester Gruppenname wie Anunnaki.</w:t>
            </w:r>
          </w:p>
        </w:tc>
      </w:tr>
      <w:tr>
        <w:tc>
          <w:tcPr>
            <w:tcW w:type="dxa" w:w="1800"/>
            <w:vAlign w:val="top"/>
          </w:tcPr>
          <w:p>
            <w:r/>
            <w:r>
              <w:rPr>
                <w:rFonts w:ascii="Arial" w:hAnsi="Arial"/>
                <w:b w:val="0"/>
                <w:sz w:val="16"/>
              </w:rPr>
              <w:t>Soehne Gottes</w:t>
            </w:r>
          </w:p>
        </w:tc>
        <w:tc>
          <w:tcPr>
            <w:tcW w:type="dxa" w:w="2500"/>
            <w:vAlign w:val="top"/>
          </w:tcPr>
          <w:p>
            <w:r/>
            <w:r>
              <w:rPr>
                <w:rFonts w:ascii="Arial" w:hAnsi="Arial"/>
                <w:b w:val="0"/>
                <w:sz w:val="16"/>
              </w:rPr>
              <w:t>Himmlische Wesen oder goettlicher Rat; in Gen 6 strittig</w:t>
            </w:r>
          </w:p>
        </w:tc>
        <w:tc>
          <w:tcPr>
            <w:tcW w:type="dxa" w:w="3200"/>
            <w:vAlign w:val="top"/>
          </w:tcPr>
          <w:p>
            <w:r/>
            <w:r>
              <w:rPr>
                <w:rFonts w:ascii="Arial" w:hAnsi="Arial"/>
                <w:b w:val="0"/>
                <w:sz w:val="16"/>
              </w:rPr>
              <w:t>Plausibel bis strittig</w:t>
            </w:r>
          </w:p>
        </w:tc>
        <w:tc>
          <w:tcPr>
            <w:tcW w:type="dxa" w:w="1500"/>
            <w:vAlign w:val="top"/>
          </w:tcPr>
          <w:p>
            <w:r/>
            <w:r>
              <w:rPr>
                <w:rFonts w:ascii="Arial" w:hAnsi="Arial"/>
                <w:b w:val="0"/>
                <w:sz w:val="16"/>
              </w:rPr>
              <w:t>Aelteste juedische Deutung oft himmlisch; spaetere Sethiten-/Herrscherdeutung ebenfalls vertreten.</w:t>
            </w:r>
          </w:p>
        </w:tc>
      </w:tr>
      <w:tr>
        <w:tc>
          <w:tcPr>
            <w:tcW w:type="dxa" w:w="1800"/>
            <w:vAlign w:val="top"/>
          </w:tcPr>
          <w:p>
            <w:r/>
            <w:r>
              <w:rPr>
                <w:rFonts w:ascii="Arial" w:hAnsi="Arial"/>
                <w:b w:val="0"/>
                <w:sz w:val="16"/>
              </w:rPr>
              <w:t>Waechter</w:t>
            </w:r>
          </w:p>
        </w:tc>
        <w:tc>
          <w:tcPr>
            <w:tcW w:type="dxa" w:w="2500"/>
            <w:vAlign w:val="top"/>
          </w:tcPr>
          <w:p>
            <w:r/>
            <w:r>
              <w:rPr>
                <w:rFonts w:ascii="Arial" w:hAnsi="Arial"/>
                <w:b w:val="0"/>
                <w:sz w:val="16"/>
              </w:rPr>
              <w:t>Second-Temple-Auslegung der Soehne Gottes als gefallene himmlische Wesen</w:t>
            </w:r>
          </w:p>
        </w:tc>
        <w:tc>
          <w:tcPr>
            <w:tcW w:type="dxa" w:w="3200"/>
            <w:vAlign w:val="top"/>
          </w:tcPr>
          <w:p>
            <w:r/>
            <w:r>
              <w:rPr>
                <w:rFonts w:ascii="Arial" w:hAnsi="Arial"/>
                <w:b w:val="0"/>
                <w:sz w:val="16"/>
              </w:rPr>
              <w:t>Gut belegt in 1 Henoch</w:t>
            </w:r>
          </w:p>
        </w:tc>
        <w:tc>
          <w:tcPr>
            <w:tcW w:type="dxa" w:w="1500"/>
            <w:vAlign w:val="top"/>
          </w:tcPr>
          <w:p>
            <w:r/>
            <w:r>
              <w:rPr>
                <w:rFonts w:ascii="Arial" w:hAnsi="Arial"/>
                <w:b w:val="0"/>
                <w:sz w:val="16"/>
              </w:rPr>
              <w:t>Nicht direkt Begriff aus Genesis 6.</w:t>
            </w:r>
          </w:p>
        </w:tc>
      </w:tr>
      <w:tr>
        <w:tc>
          <w:tcPr>
            <w:tcW w:type="dxa" w:w="1800"/>
            <w:vAlign w:val="top"/>
          </w:tcPr>
          <w:p>
            <w:r/>
            <w:r>
              <w:rPr>
                <w:rFonts w:ascii="Arial" w:hAnsi="Arial"/>
                <w:b w:val="0"/>
                <w:sz w:val="16"/>
              </w:rPr>
              <w:t>Nephilim</w:t>
            </w:r>
          </w:p>
        </w:tc>
        <w:tc>
          <w:tcPr>
            <w:tcW w:type="dxa" w:w="2500"/>
            <w:vAlign w:val="top"/>
          </w:tcPr>
          <w:p>
            <w:r/>
            <w:r>
              <w:rPr>
                <w:rFonts w:ascii="Arial" w:hAnsi="Arial"/>
                <w:b w:val="0"/>
                <w:sz w:val="16"/>
              </w:rPr>
              <w:t>Vorzeitliche Maenner/Riesen; spaeter mit Anakim verbunden</w:t>
            </w:r>
          </w:p>
        </w:tc>
        <w:tc>
          <w:tcPr>
            <w:tcW w:type="dxa" w:w="3200"/>
            <w:vAlign w:val="top"/>
          </w:tcPr>
          <w:p>
            <w:r/>
            <w:r>
              <w:rPr>
                <w:rFonts w:ascii="Arial" w:hAnsi="Arial"/>
                <w:b w:val="0"/>
                <w:sz w:val="16"/>
              </w:rPr>
              <w:t>Belegt, Deutung strittig</w:t>
            </w:r>
          </w:p>
        </w:tc>
        <w:tc>
          <w:tcPr>
            <w:tcW w:type="dxa" w:w="1500"/>
            <w:vAlign w:val="top"/>
          </w:tcPr>
          <w:p>
            <w:r/>
            <w:r>
              <w:rPr>
                <w:rFonts w:ascii="Arial" w:hAnsi="Arial"/>
                <w:b w:val="0"/>
                <w:sz w:val="16"/>
              </w:rPr>
              <w:t>Nur Gen 6,4 und Num 13,33; genaue Herkunft offen.</w:t>
            </w:r>
          </w:p>
        </w:tc>
      </w:tr>
      <w:tr>
        <w:tc>
          <w:tcPr>
            <w:tcW w:type="dxa" w:w="1800"/>
            <w:vAlign w:val="top"/>
          </w:tcPr>
          <w:p>
            <w:r/>
            <w:r>
              <w:rPr>
                <w:rFonts w:ascii="Arial" w:hAnsi="Arial"/>
                <w:b w:val="0"/>
                <w:sz w:val="16"/>
              </w:rPr>
              <w:t>Anunnaki = Elohim</w:t>
            </w:r>
          </w:p>
        </w:tc>
        <w:tc>
          <w:tcPr>
            <w:tcW w:type="dxa" w:w="2500"/>
            <w:vAlign w:val="top"/>
          </w:tcPr>
          <w:p>
            <w:r/>
            <w:r>
              <w:rPr>
                <w:rFonts w:ascii="Arial" w:hAnsi="Arial"/>
                <w:b w:val="0"/>
                <w:sz w:val="16"/>
              </w:rPr>
              <w:t>Direkte Identitaet</w:t>
            </w:r>
          </w:p>
        </w:tc>
        <w:tc>
          <w:tcPr>
            <w:tcW w:type="dxa" w:w="3200"/>
            <w:vAlign w:val="top"/>
          </w:tcPr>
          <w:p>
            <w:r/>
            <w:r>
              <w:rPr>
                <w:rFonts w:ascii="Arial" w:hAnsi="Arial"/>
                <w:b w:val="0"/>
                <w:sz w:val="16"/>
              </w:rPr>
              <w:t>Nicht belegt</w:t>
            </w:r>
          </w:p>
        </w:tc>
        <w:tc>
          <w:tcPr>
            <w:tcW w:type="dxa" w:w="1500"/>
            <w:vAlign w:val="top"/>
          </w:tcPr>
          <w:p>
            <w:r/>
            <w:r>
              <w:rPr>
                <w:rFonts w:ascii="Arial" w:hAnsi="Arial"/>
                <w:b w:val="0"/>
                <w:sz w:val="16"/>
              </w:rPr>
              <w:t>Struktureller Vergleich ja, sprachlich-historische Gleichung nein.</w:t>
            </w:r>
          </w:p>
        </w:tc>
      </w:tr>
      <w:tr>
        <w:tc>
          <w:tcPr>
            <w:tcW w:type="dxa" w:w="1800"/>
            <w:vAlign w:val="top"/>
          </w:tcPr>
          <w:p>
            <w:r/>
            <w:r>
              <w:rPr>
                <w:rFonts w:ascii="Arial" w:hAnsi="Arial"/>
                <w:b w:val="0"/>
                <w:sz w:val="16"/>
              </w:rPr>
              <w:t>Anunnaki = Nephilim</w:t>
            </w:r>
          </w:p>
        </w:tc>
        <w:tc>
          <w:tcPr>
            <w:tcW w:type="dxa" w:w="2500"/>
            <w:vAlign w:val="top"/>
          </w:tcPr>
          <w:p>
            <w:r/>
            <w:r>
              <w:rPr>
                <w:rFonts w:ascii="Arial" w:hAnsi="Arial"/>
                <w:b w:val="0"/>
                <w:sz w:val="16"/>
              </w:rPr>
              <w:t>Direkte Identitaet</w:t>
            </w:r>
          </w:p>
        </w:tc>
        <w:tc>
          <w:tcPr>
            <w:tcW w:type="dxa" w:w="3200"/>
            <w:vAlign w:val="top"/>
          </w:tcPr>
          <w:p>
            <w:r/>
            <w:r>
              <w:rPr>
                <w:rFonts w:ascii="Arial" w:hAnsi="Arial"/>
                <w:b w:val="0"/>
                <w:sz w:val="16"/>
              </w:rPr>
              <w:t>Nicht belegt</w:t>
            </w:r>
          </w:p>
        </w:tc>
        <w:tc>
          <w:tcPr>
            <w:tcW w:type="dxa" w:w="1500"/>
            <w:vAlign w:val="top"/>
          </w:tcPr>
          <w:p>
            <w:r/>
            <w:r>
              <w:rPr>
                <w:rFonts w:ascii="Arial" w:hAnsi="Arial"/>
                <w:b w:val="0"/>
                <w:sz w:val="16"/>
              </w:rPr>
              <w:t>Verschiedene Textwelten und Funktionen; keine direkte alte Quelle.</w:t>
            </w:r>
          </w:p>
        </w:tc>
      </w:tr>
      <w:tr>
        <w:tc>
          <w:tcPr>
            <w:tcW w:type="dxa" w:w="1800"/>
            <w:vAlign w:val="top"/>
          </w:tcPr>
          <w:p>
            <w:r/>
            <w:r>
              <w:rPr>
                <w:rFonts w:ascii="Arial" w:hAnsi="Arial"/>
                <w:b w:val="0"/>
                <w:sz w:val="16"/>
              </w:rPr>
              <w:t>Anunnaki/Elohim/Nephilim als gemeinsamer Motivraum</w:t>
            </w:r>
          </w:p>
        </w:tc>
        <w:tc>
          <w:tcPr>
            <w:tcW w:type="dxa" w:w="2500"/>
            <w:vAlign w:val="top"/>
          </w:tcPr>
          <w:p>
            <w:r/>
            <w:r>
              <w:rPr>
                <w:rFonts w:ascii="Arial" w:hAnsi="Arial"/>
                <w:b w:val="0"/>
                <w:sz w:val="16"/>
              </w:rPr>
              <w:t>Vergleichsthese</w:t>
            </w:r>
          </w:p>
        </w:tc>
        <w:tc>
          <w:tcPr>
            <w:tcW w:type="dxa" w:w="3200"/>
            <w:vAlign w:val="top"/>
          </w:tcPr>
          <w:p>
            <w:r/>
            <w:r>
              <w:rPr>
                <w:rFonts w:ascii="Arial" w:hAnsi="Arial"/>
                <w:b w:val="0"/>
                <w:sz w:val="16"/>
              </w:rPr>
              <w:t>Plausibel</w:t>
            </w:r>
          </w:p>
        </w:tc>
        <w:tc>
          <w:tcPr>
            <w:tcW w:type="dxa" w:w="1500"/>
            <w:vAlign w:val="top"/>
          </w:tcPr>
          <w:p>
            <w:r/>
            <w:r>
              <w:rPr>
                <w:rFonts w:ascii="Arial" w:hAnsi="Arial"/>
                <w:b w:val="0"/>
                <w:sz w:val="16"/>
              </w:rPr>
              <w:t>Goetterrat, Urzeit, Flut, Riesen, himmlische Wesen und Gericht als gemeinsame Motive.</w:t>
            </w:r>
          </w:p>
        </w:tc>
      </w:tr>
    </w:tbl>
    <w:p>
      <w:pPr>
        <w:pStyle w:val="Heading2"/>
      </w:pPr>
      <w:r>
        <w:t>7. Die Marduk-Frage: Namen, Titel und Machtuebernahme</w:t>
      </w:r>
    </w:p>
    <w:p>
      <w:r>
        <w:rPr>
          <w:rFonts w:ascii="Arial" w:hAnsi="Arial"/>
        </w:rPr>
        <w:t>Die mesopotamische Marduk-Tradition ist fuer die Namenswechsel-These besonders interessant, aber auf andere Weise als die Anunnaki-Frage. Enuma Elish erhebt Marduk nach dem Sieg ueber Tiamat zum fuehrenden Gott und verbindet ihn mit Macht, Funktionen und Namen anderer Goetter. Die Forschung zu den 'fuenfzig Namen Marduks' zeigt, dass Namens- und Titelerklaerungen in der mesopotamischen Theologie eine echte Rolle spielten. Namen koennen also theologisch Macht, Funktion und Identitaet buendeln.</w:t>
      </w:r>
      <w:r>
        <w:footnoteReference w:id="58"/>
      </w:r>
    </w:p>
    <w:p>
      <w:r>
        <w:rPr>
          <w:rFonts w:ascii="Arial" w:hAnsi="Arial"/>
        </w:rPr>
        <w:t>Das ist eine starke Parallele zu unserer Hauptfrage: Auch JHWH uebernimmt Titel und Funktionen Els und Baal/Hadads. Aber auch hier gilt: Marduk ist nicht JHWH und die Anunnaki sind nicht Elohim. Tragfaehig ist die strukturelle Beobachtung, dass antike Religionen Machtuebernahmen und Rangveraenderungen ueber Namen, Titel, Hymnen, Mythen und Kultordnungen darstellen.</w:t>
      </w:r>
    </w:p>
    <w:p>
      <w:pPr>
        <w:pStyle w:val="Heading2"/>
      </w:pPr>
      <w:r>
        <w:t>8. Ergebnis fuer die Hauptthese</w:t>
      </w:r>
    </w:p>
    <w:p>
      <w:r>
        <w:rPr>
          <w:rFonts w:ascii="Arial" w:hAnsi="Arial"/>
        </w:rPr>
        <w:t>Kapitel 7 setzt eine wichtige Grenze. Die These 'alle diese Wesen sind eigentlich dieselben' ist in ihrer harten Form nicht wissenschaftlich belegbar. Es gibt keine alte Quelle, die Anunnaki mit Elohim, Nephilim oder Waechtern gleichsetzt. Es gibt auch keine belastbare Sprachlinie von Anunna/Anunnaki zu Elohim oder Nephilim.</w:t>
      </w:r>
    </w:p>
    <w:p>
      <w:r>
        <w:rPr>
          <w:rFonts w:ascii="Arial" w:hAnsi="Arial"/>
        </w:rPr>
        <w:t>Stark bleibt jedoch die Vergleichsthese: Die biblischen Texte stehen in einem altorientalischen Religions- und Motivraum, in dem goettliche Ratsversammlungen, himmlische Wesen, Schicksalsentscheidungen, Flut, Urzeitgewalt, Riesen und nachgeordnete Geister vorkommen. Genau hier kann die Arbeit wissenschaftlich weitergehen: nicht als Beweis einer einzigen Identitaet, sondern als Analyse, wie verschiedene Kulturen aehnliche Strukturen mit unterschiedlichen Namen, Rollen und theologischen Bewertungen verarbeiten.</w:t>
      </w:r>
    </w:p>
    <w:p>
      <w:pPr>
        <w:pStyle w:val="Heading2"/>
      </w:pPr>
      <w:r>
        <w:t>9. Ergebnis und Kapitelstatus</w:t>
      </w:r>
    </w:p>
    <w:p>
      <w:r>
        <w:rPr>
          <w:rFonts w:ascii="Arial" w:hAnsi="Arial"/>
        </w:rPr>
        <w:t>Kapitel 7 liegt als druckreife Lesefassung V1 vor. Ergebnis: Anunnaki, Elohim, Waechter und Nephilim duerfen nicht gleichgesetzt werden, koennen aber in einer kontrollierten Vergleichsmatrix nebeneinandergestellt werden. Moderne Anunnaki-/Alien-Lesarten sind als Rezeptionsgeschichte zu behandeln und nicht als Befund der antiken Keilschrift- oder Bibeltexte. Fuer die Hauptthese folgt daraus: Mesopotamien bleibt ein wichtiger Vergleichs- und Einflussraum, liefert aber keine direkte Gleichung Anunnaki = Elohim oder Anunnaki = Nephilim.</w:t>
      </w:r>
    </w:p>
    <w:p>
      <w:pPr>
        <w:pStyle w:val="Heading2"/>
      </w:pPr>
      <w:r>
        <w:t>10. Druckreifepruefung Kapitel 7</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Anunnaki, Elohim, Waechter und Nephilim werden vergleichend, aber nicht identifizierend behandelt.</w:t>
            </w:r>
          </w:p>
        </w:tc>
      </w:tr>
      <w:tr>
        <w:tc>
          <w:tcPr>
            <w:tcW w:type="dxa" w:w="2400"/>
            <w:vAlign w:val="top"/>
          </w:tcPr>
          <w:p>
            <w:r/>
            <w:r>
              <w:rPr>
                <w:rFonts w:ascii="Arial" w:hAnsi="Arial"/>
                <w:b w:val="0"/>
                <w:sz w:val="16"/>
              </w:rPr>
              <w:t>Quellenraeume getrennt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Keilschrift, biblische Texte, Enoch/Jubilaeen und moderne Rezeptionsgeschichte werden methodisch getrennt.</w:t>
            </w:r>
          </w:p>
        </w:tc>
      </w:tr>
      <w:tr>
        <w:tc>
          <w:tcPr>
            <w:tcW w:type="dxa" w:w="2400"/>
            <w:vAlign w:val="top"/>
          </w:tcPr>
          <w:p>
            <w:r/>
            <w:r>
              <w:rPr>
                <w:rFonts w:ascii="Arial" w:hAnsi="Arial"/>
                <w:b w:val="0"/>
                <w:sz w:val="16"/>
              </w:rPr>
              <w:t>Prae-Astronautik separiert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Moderne Alien-Lesarten erscheinen nicht als antiker Befund.</w:t>
            </w:r>
          </w:p>
        </w:tc>
      </w:tr>
      <w:tr>
        <w:tc>
          <w:tcPr>
            <w:tcW w:type="dxa" w:w="2400"/>
            <w:vAlign w:val="top"/>
          </w:tcPr>
          <w:p>
            <w:r/>
            <w:r>
              <w:rPr>
                <w:rFonts w:ascii="Arial" w:hAnsi="Arial"/>
                <w:b w:val="0"/>
                <w:sz w:val="16"/>
              </w:rPr>
              <w:t>Marduk eingeordnet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Marduks Namen- und Funktionsbuendelung stuetzt Namens-/Funktionsanalyse, nicht JHWH-Marduk-Identitaet.</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neutralisiert.</w:t>
            </w:r>
          </w:p>
        </w:tc>
      </w:tr>
    </w:tbl>
    <w:p>
      <w:pPr>
        <w:pStyle w:val="Heading2"/>
      </w:pPr>
      <w:r>
        <w:t>11. Quellenbasis fuer Kapitel 7</w:t>
      </w:r>
    </w:p>
    <w:p>
      <w:pPr>
        <w:pStyle w:val="ListBullet"/>
      </w:pPr>
      <w:r>
        <w:rPr>
          <w:rFonts w:ascii="Arial" w:hAnsi="Arial"/>
        </w:rPr>
        <w:t>ORACC, Ancient Mesopotamian Gods and Goddesses, 'Anunna (Anunnaku, Anunnaki)', zu Anunnaki als wechselnder mesopotamischer Goettergruppe, hohen Goettern, Stadtpantheon, Schicksalsentscheidern und Unterweltsgoettern.</w:t>
      </w:r>
    </w:p>
    <w:p>
      <w:pPr>
        <w:pStyle w:val="ListBullet"/>
      </w:pPr>
      <w:r>
        <w:rPr>
          <w:rFonts w:ascii="Arial" w:hAnsi="Arial"/>
        </w:rPr>
        <w:t>ORACC, 'An/Anu', zu An/Anu als Himmelsgott, Vater der Goetter und head of the Anunnaki.</w:t>
      </w:r>
    </w:p>
    <w:p>
      <w:pPr>
        <w:pStyle w:val="ListBullet"/>
      </w:pPr>
      <w:r>
        <w:rPr>
          <w:rFonts w:ascii="Arial" w:hAnsi="Arial"/>
        </w:rPr>
        <w:t>Enuma Elish, Tablet VI, in der Uebersetzung von W. G. Lambert, zu Marduks Ordnung der Anunnaki und der Verteilung von 600 Goettern.</w:t>
      </w:r>
    </w:p>
    <w:p>
      <w:pPr>
        <w:pStyle w:val="ListBullet"/>
      </w:pPr>
      <w:r>
        <w:rPr>
          <w:rFonts w:ascii="Arial" w:hAnsi="Arial"/>
        </w:rPr>
        <w:t>Eiko Matsushima, 'On the Significance of Fifty Names of Marduk', Orient 51, 2008, DOI 10.5356/jorient.51.165, zu Marduks Namen als theologischer Macht- und Funktionsbuendelung.</w:t>
      </w:r>
    </w:p>
    <w:p>
      <w:pPr>
        <w:pStyle w:val="ListBullet"/>
      </w:pPr>
      <w:r>
        <w:rPr>
          <w:rFonts w:ascii="Arial" w:hAnsi="Arial"/>
        </w:rPr>
        <w:t>Daisuke Shibata, 'The Hermeneutics of the Names of Deities in Ancient Mesopotamia', Orient 49/2, 2006, DOI 10.5356/jorient.49.2_22, zu Namen und Epitheta Marduks.</w:t>
      </w:r>
    </w:p>
    <w:p>
      <w:pPr>
        <w:pStyle w:val="ListBullet"/>
      </w:pPr>
      <w:r>
        <w:rPr>
          <w:rFonts w:ascii="Arial" w:hAnsi="Arial"/>
        </w:rPr>
        <w:t>Ki-Eun Jang, 'The Problems of Sons of Gods, Daughters of Humans, and the Nephilim in Genesis 6:1-4: A Reassessment', Religions 16/8, 2025, DOI 10.3390/rel16080972, zu Nephilim, Landnahme- und Riesenvoelkertraditionen.</w:t>
      </w:r>
    </w:p>
    <w:p>
      <w:pPr>
        <w:pStyle w:val="ListBullet"/>
      </w:pPr>
      <w:r>
        <w:rPr>
          <w:rFonts w:ascii="Arial" w:hAnsi="Arial"/>
        </w:rPr>
        <w:t>Genesis 6,1-4 und Numeri 13,33 als Primaerstellen der Nephilim in der Hebraeischen Bibel.</w:t>
      </w:r>
    </w:p>
    <w:p>
      <w:pPr>
        <w:pStyle w:val="ListBullet"/>
      </w:pPr>
      <w:r>
        <w:rPr>
          <w:rFonts w:ascii="Arial" w:hAnsi="Arial"/>
        </w:rPr>
        <w:t>1 Henoch, Buch der Waechter, als Second-Temple-Ausbau der Soehne-Gottes-Tradition; bereits in Kapitel 6 behandelt.</w:t>
      </w:r>
    </w:p>
    <w:p>
      <w:pPr>
        <w:pStyle w:val="ListBullet"/>
      </w:pPr>
      <w:r>
        <w:rPr>
          <w:rFonts w:ascii="Arial" w:hAnsi="Arial"/>
        </w:rPr>
        <w:t>Lokale Anlage F 'anunaki.docx' als Arbeitsnotiz: Vergleich sinnvoll, direkte Gleichung nicht belegt.</w:t>
      </w:r>
    </w:p>
    <w:p>
      <w:r>
        <w:br w:type="page"/>
      </w:r>
    </w:p>
    <w:p>
      <w:pPr>
        <w:pStyle w:val="Heading1"/>
      </w:pPr>
      <w:r>
        <w:t>Kapitel 8: Gewalt, Opfer, Plagen und Gericht als Problem des Gottesbildes</w:t>
      </w:r>
    </w:p>
    <w:p>
      <w:r>
        <w:rPr>
          <w:rFonts w:ascii="Arial" w:hAnsi="Arial"/>
        </w:rPr>
        <w:t>Leitfrage: Zeigen Gewalttexte, Opferforderungen, Plagen, Bannkrieg und Gerichtsdrohungen, dass JHWH seine Autoritaet eher durch Angst und Gewalt als durch Ueberzeugung durchsetzt? Die Antwort muss zweigeteilt sein. Textlich ist unbestreitbar, dass die Hebraeische Bibel JHWH an vielen Stellen als kriegerischen, strafenden, eifersuechtigen und Opfer fordernden Gott darstellt. Religionsgeschichtlich ist dies im altorientalischen Umfeld nicht ungewoehnlich: Goetter schuetzen ihre Gruppen, fordern Loyalitaet, sanktionieren Ordnung und legitimieren Krieg. Ethisch bleibt der Befund problematisch. Gerade deshalb duerfen diese Texte nicht harmonisiert werden, sondern muessen als zentrale Spannung des Gottesbildes behandelt werden.</w:t>
      </w:r>
      <w:r>
        <w:footnoteReference w:id="59"/>
      </w:r>
    </w:p>
    <w:p>
      <w:pPr>
        <w:pStyle w:val="Heading2"/>
      </w:pPr>
      <w:r>
        <w:t>1. Ergebnis in Kurzform</w:t>
      </w:r>
    </w:p>
    <w:p>
      <w:pPr>
        <w:pStyle w:val="ListBullet"/>
      </w:pPr>
      <w:r>
        <w:rPr>
          <w:rFonts w:ascii="Arial" w:hAnsi="Arial"/>
        </w:rPr>
        <w:t>JHWH erscheint in vielen Texten nicht nur als Schoepfer und Befreier, sondern auch als goettlicher Krieger, Richter, Vernichter und Garant exklusiver Loyalitaet.</w:t>
      </w:r>
    </w:p>
    <w:p>
      <w:pPr>
        <w:pStyle w:val="ListBullet"/>
      </w:pPr>
      <w:r>
        <w:rPr>
          <w:rFonts w:ascii="Arial" w:hAnsi="Arial"/>
        </w:rPr>
        <w:t>Der Bannkrieg/herem ist der haerteste Gewaltkomplex: Er verbindet Religion, Krieg, Land, Identitaet und Ausloeschungsrhetorik.</w:t>
      </w:r>
    </w:p>
    <w:p>
      <w:pPr>
        <w:pStyle w:val="ListBullet"/>
      </w:pPr>
      <w:r>
        <w:rPr>
          <w:rFonts w:ascii="Arial" w:hAnsi="Arial"/>
        </w:rPr>
        <w:t>Tieropfer gehoeren in den realen altorientalischen Kultkontext; sie sind nicht nur symbolische Metaphern, sondern Teil gelebter antiker Religion.</w:t>
      </w:r>
    </w:p>
    <w:p>
      <w:pPr>
        <w:pStyle w:val="ListBullet"/>
      </w:pPr>
      <w:r>
        <w:rPr>
          <w:rFonts w:ascii="Arial" w:hAnsi="Arial"/>
        </w:rPr>
        <w:t>Kinderopfer sind im biblischen Material nicht einfach erledigt. Genesis 22, Erstgeburtsgesetze, Molech-Polemik und prophetische Kritik zeigen ein konfliktreiches Traditionsfeld.</w:t>
      </w:r>
    </w:p>
    <w:p>
      <w:pPr>
        <w:pStyle w:val="ListBullet"/>
      </w:pPr>
      <w:r>
        <w:rPr>
          <w:rFonts w:ascii="Arial" w:hAnsi="Arial"/>
        </w:rPr>
        <w:t>Die Plagen gegen Aegypten sind literarisch als Machterweis JHWHs und Gericht an Aegypten gestaltet; ein direkter historischer Goetterkampf gegen reale aegyptische Schutzgoetter ist nicht belegbar.</w:t>
      </w:r>
    </w:p>
    <w:p>
      <w:pPr>
        <w:pStyle w:val="ListBullet"/>
      </w:pPr>
      <w:r>
        <w:rPr>
          <w:rFonts w:ascii="Arial" w:hAnsi="Arial"/>
        </w:rPr>
        <w:t>Fuer die Hauptthese bedeutet das: Die Bibel bewahrt Spuren eines goettlichen Machtkampfes auf der Ebene von Polemik, Mythos und Theologie, aber sie erzaehlt ihn aus Siegerperspektive JHWHs.</w:t>
      </w:r>
    </w:p>
    <w:p>
      <w:pPr>
        <w:pStyle w:val="Heading2"/>
      </w:pPr>
      <w:r>
        <w:t>2. JHWH als goettlicher Krieger</w:t>
      </w:r>
    </w:p>
    <w:p>
      <w:r>
        <w:rPr>
          <w:rFonts w:ascii="Arial" w:hAnsi="Arial"/>
        </w:rPr>
        <w:t>Die Vorstellung JHWHs als Krieger ist alt und breit belegt. Exodus 15,3 nennt JHWH einen 'Mann des Krieges'. In Deuteronomium, Josua, Richter, Psalmen und prophetischen Texten kaempft JHWH, fuehrt Krieg, vernichtet Feinde, laesst Naturkraefte fuer sich wirken oder droht Israel selbst mit Vernichtung bei Vertragsbruch. TheTorahs Darstellung des Tabernakels im altorientalischen Kontext betont, dass JHWHs Zelt auch als militaerisch anschlussfaehiges Symbol gelesen werden kann: Gott wohnt im Lager und zieht mit dem Volk.</w:t>
      </w:r>
      <w:r>
        <w:footnoteReference w:id="60"/>
      </w:r>
    </w:p>
    <w:p>
      <w:r>
        <w:rPr>
          <w:rFonts w:ascii="Arial" w:hAnsi="Arial"/>
        </w:rPr>
        <w:t>Religionsgeschichtlich passt das zu einem altorientalischen Muster: Goetter waren Schutzmaechte von Staedten, Koenigen und Voelkern. Krieg wurde nicht neutral gefuehrt, sondern als Konflikt, in dem Gottheiten, Heiligtuemer, Zeichen und Orakel beteiligt waren. Das erklaert, weshalb Israels Texte JHWH nicht nur moralisch, sondern militaerisch als ueberlegen darstellen. Es entschuldigt die Gewalt nicht, aber es erklaert ihre antike Plausibilitaet.</w:t>
      </w:r>
    </w:p>
    <w:p>
      <w:pPr>
        <w:pStyle w:val="Heading2"/>
      </w:pPr>
      <w:r>
        <w:t>2.1 Was sich konkret beantworten laesst</w:t>
      </w:r>
    </w:p>
    <w:p>
      <w:pPr>
        <w:pStyle w:val="ListBullet"/>
      </w:pPr>
      <w:r>
        <w:rPr>
          <w:rFonts w:ascii="Arial" w:hAnsi="Arial"/>
        </w:rPr>
        <w:t>Hat JHWH seine Autoritaet durch Angst und Gewalt durchgesetzt? Textlich ist das teilweise gut begruendbar: Drohung, Segen/Fluch, Krieg, Plagen, Eifersucht und Kultvernichtung sind reale Motive. Historisch darf daraus aber nicht schlicht ein Protokoll realer Ereignisse gemacht werden; viele Texte sind theologische Programmsprache.</w:t>
      </w:r>
      <w:r>
        <w:footnoteReference w:id="61"/>
      </w:r>
    </w:p>
    <w:p>
      <w:pPr>
        <w:pStyle w:val="ListBullet"/>
      </w:pPr>
      <w:r>
        <w:rPr>
          <w:rFonts w:ascii="Arial" w:hAnsi="Arial"/>
        </w:rPr>
        <w:t>Ist JHWH deshalb 'boese'? Als wissenschaftliche Aussage ist das zu pauschal. Tragfaehiger ist: Das biblische Gottesbild ist ethisch spannungsreich und enthaelt Gewaltmotive, die mit moderner Moral und mit spaeteren Liebes- und Barmherzigkeitstraditionen nicht glatt zusammenpassen.</w:t>
      </w:r>
    </w:p>
    <w:p>
      <w:pPr>
        <w:pStyle w:val="ListBullet"/>
      </w:pPr>
      <w:r>
        <w:rPr>
          <w:rFonts w:ascii="Arial" w:hAnsi="Arial"/>
        </w:rPr>
        <w:t>Gibt es Hinweise auf einen echten Kampf gegen andere Goetter? Ja, als Text- und Kultpolemik: Exodus 12,12, Baal-Polemik, Chaoskampf- und Sturmgottmotive. Nein, als neutral nachweisbarer historischer Goetterkrieg.</w:t>
      </w:r>
    </w:p>
    <w:p>
      <w:pPr>
        <w:pStyle w:val="ListBullet"/>
      </w:pPr>
      <w:r>
        <w:rPr>
          <w:rFonts w:ascii="Arial" w:hAnsi="Arial"/>
        </w:rPr>
        <w:t>Warum verhindert kein hoeherer El JHWHs Gewalt? Die vorhandenen Texte beantworten das nicht. In den spaeteren JHWH-zentrierten Schichten ist ein hoeheres Kontrollorgan gerade nicht mehr vorgesehen.</w:t>
      </w:r>
    </w:p>
    <w:p>
      <w:pPr>
        <w:pStyle w:val="ListBullet"/>
      </w:pPr>
      <w:r>
        <w:rPr>
          <w:rFonts w:ascii="Arial" w:hAnsi="Arial"/>
        </w:rPr>
        <w:t>Warum greifen Aegyptens Goetter bei den Plagen nicht ein? Weil die Exodus-Erzaehlung aus israelitischer Sieger- und Bekenntnisperspektive geschrieben ist. Sie inszeniert JHWHs Ueberlegenheit, nicht ein ausgewogenes Protokoll aegyptischer Theologie.</w:t>
      </w:r>
      <w:r>
        <w:footnoteReference w:id="62"/>
      </w:r>
    </w:p>
    <w:p>
      <w:pPr>
        <w:pStyle w:val="Heading2"/>
      </w:pPr>
      <w:r>
        <w:t>3. Herem: Bannkrieg als Extremfall</w:t>
      </w:r>
    </w:p>
    <w:p>
      <w:r>
        <w:rPr>
          <w:rFonts w:ascii="Arial" w:hAnsi="Arial"/>
        </w:rPr>
        <w:t>Der haerteste Befund ist der herem, der Bann. In Deuteronomium 7, Deuteronomium 20, Numeri 21 und Josua wird die Vernichtung von Staedten, Voelkern, Besitz und Kultobjekten mit exklusiver JHWH-Loyalitaet verbunden. TheTorahs Analyse von Deuteronomiums herem-Gesetz bringt den inneren Widerspruch gut auf den Punkt: Deuteronomium enthaelt viele humanisierende Sozialgesetze, schliesst die kanaanaeische Bevoelkerung aber aus dieser Humanitaet aus. Der Bann dient dort der Abwehr von Fremdkult und Identitaetsverlust.</w:t>
      </w:r>
      <w:r>
        <w:footnoteReference w:id="63"/>
      </w:r>
    </w:p>
    <w:p>
      <w:r>
        <w:rPr>
          <w:rFonts w:ascii="Arial" w:hAnsi="Arial"/>
        </w:rPr>
        <w:t>Benjamin Luelik zeigt, dass herem in der Tradition selbst eine Entwicklung durchlaeuft: von Vernichtungsrhetorik gegen idolatrische Gegner, ueber deuteronomische Begrenzungen, bis zur spaeteren rabbinischen Umdeutung in eine nichtmilitaerische beziehungsweise spirituelle Kategorie. Wichtig ist: Die problematische Gewalt wird in der Tradition nicht einfach stehen gelassen, sondern spaeter entschaerft, spiritualisiert oder auf eine vergangene Sonderlage begrenzt.</w:t>
      </w:r>
    </w:p>
    <w:p>
      <w:r>
        <w:rPr>
          <w:rFonts w:ascii="Arial" w:hAnsi="Arial"/>
        </w:rPr>
        <w:t>Fuer die These heisst das: Die Gewalttexte koennen tatsaechlich als Mittel der Durchsetzung exklusiver JHWH-Loyalitaet gelesen werden. Sie zeigen eine Religion, die Konkurrenzgoetter, Kultorte und kulturelle Vermischung nicht nur argumentativ, sondern in den Texten auch gewaltsam bekaempft. Historisch ist aber zu beachten, dass viele Vernichtungserzaehlungen wahrscheinlich literarisch-ideologische Rueckprojektionen sind und archaeologisch nicht als vollstaendige Ausrottung Kanaans bestaetigt werden.</w:t>
      </w:r>
      <w:r>
        <w:footnoteReference w:id="64"/>
      </w:r>
    </w:p>
    <w:p>
      <w:pPr>
        <w:pStyle w:val="Heading2"/>
      </w:pPr>
      <w:r>
        <w:t>4. Opfer: Gabe, Mahl, Naehe und Gewalt</w:t>
      </w:r>
    </w:p>
    <w:p>
      <w:r>
        <w:rPr>
          <w:rFonts w:ascii="Arial" w:hAnsi="Arial"/>
        </w:rPr>
        <w:t>Tieropfer sind im Alten Orient normal. Baruch Levine beschreibt Opfer in TheTorah als Mittel, die Naehe Gottes zu aktualisieren: Opfer sind Gaben, Speisezeichen, Mahl- und Reinheitsrituale, durch die die Gegenwart der Gottheit in der Gemeinschaft hergestellt wird. Die Opfergesetze in Levitikus sind deshalb nicht als blosse Erfindung zu behandeln; vergleichbare altorientalische Kulttexte zeigen, dass solche Rituale realistisch in die antike Religionswelt passen.</w:t>
      </w:r>
      <w:r>
        <w:footnoteReference w:id="65"/>
      </w:r>
    </w:p>
    <w:p>
      <w:r>
        <w:rPr>
          <w:rFonts w:ascii="Arial" w:hAnsi="Arial"/>
        </w:rPr>
        <w:t>Zugleich ist das ethisch nicht neutral. Opfer beruhen auf der Tötung von Tieren, Blutritualen und der Vorstellung, dass Leben, Schuld, Reinheit und Gottesnaehe ueber rituelle Gewalt vermittelt werden koennen. Michael Satlow zeigt fuer die Schlachtung, dass in Israel die Grenze zwischen normalem Fleischverzehr und Opfer lange unscharf war: Das Toeten domestizierter Tiere blieb sakral aufgeladen. Das passt zur Beobachtung, dass die Bibel nicht einfach ein modernes Tierethos kennt.</w:t>
      </w:r>
    </w:p>
    <w:p>
      <w:r>
        <w:rPr>
          <w:rFonts w:ascii="Arial" w:hAnsi="Arial"/>
        </w:rPr>
        <w:t>Die Bibel selbst enthaelt aber Gegenstimmen: Propheten kritisieren Opfer ohne Recht und Barmherzigkeit; Psalm 50 problematisiert die Vorstellung, Gott brauche Opfer als Nahrung; spaetere juedische Tradition ersetzt nach der Tempelzerstoerung Opferpraxis durch Gebet, Tora, Umkehr und Wohltaten. Auch hier ist also nicht nur ein Gewaltkult sichtbar, sondern eine innere Entwicklung weg von Opferzentralitaet.</w:t>
      </w:r>
      <w:r>
        <w:footnoteReference w:id="66"/>
      </w:r>
    </w:p>
    <w:p>
      <w:pPr>
        <w:pStyle w:val="Heading2"/>
      </w:pPr>
      <w:r>
        <w:t>5. Kinderopfer, Molech und Genesis 22</w:t>
      </w:r>
    </w:p>
    <w:p>
      <w:r>
        <w:rPr>
          <w:rFonts w:ascii="Arial" w:hAnsi="Arial"/>
        </w:rPr>
        <w:t>Der schwierigste Opferkomplex betrifft Kinderopfer. Genesis 22 erzaehlt, dass Abraham Isaak opfern soll, der Vollzug aber verhindert wird. Apologetisch wird dies oft als klare Ablehnung von Kinderopfern gelesen. Kritische Forschung ist vorsichtiger: Die Erzaehlung zeigt zwar, dass der konkrete Sohn nicht geopfert wird, aber sie setzt die Plausibilitaet einer solchen Forderung als pruefende Grenzsituation voraus.</w:t>
      </w:r>
      <w:r>
        <w:footnoteReference w:id="67"/>
      </w:r>
    </w:p>
    <w:p>
      <w:r>
        <w:rPr>
          <w:rFonts w:ascii="Arial" w:hAnsi="Arial"/>
        </w:rPr>
        <w:t>Die Molech-/Molekh-Frage ist ebenfalls komplex. Klaas Smelik argumentiert, dass die Existenz eines eigenstaendigen Gottes Molekh unsicher bleibt und dass die spaetere Polemik moeglicherweise verdeckt, dass judäischer JHWH-Kult im 8. und 7. Jahrhundert v. Chr. selbst Kinderopfer einschliessen konnte. Jon Levensons Arbeit zur 'Death and Resurrection of the Beloved Son'-Tradition zeigt, wie das Opfer des geliebten oder erstgeborenen Sohnes in Judentum und Christentum theologisch transformiert wurde.</w:t>
      </w:r>
    </w:p>
    <w:p>
      <w:r>
        <w:rPr>
          <w:rFonts w:ascii="Arial" w:hAnsi="Arial"/>
        </w:rPr>
        <w:t>Fuer die Ausarbeitung ist die vorsichtige Formulierung: Kinderopfer waren im syrisch-palaestinischen und phoenizischen Umfeld als Krisenrituale denkbar oder belegt; die Bibel bekaempft sie spaeter scharf, bewahrt aber Textspuren, in denen Erstgeburt, Opferanspruch und JHWH-Kult schwieriger voneinander zu trennen sind als spaetere Theologien wuenschen. Das ist ein starker Punkt fuer eine kritische Auswertung des Gottesbildes.</w:t>
      </w:r>
      <w:r>
        <w:footnoteReference w:id="68"/>
      </w:r>
    </w:p>
    <w:p>
      <w:pPr>
        <w:pStyle w:val="Heading2"/>
      </w:pPr>
      <w:r>
        <w:t>6. Die Plagen gegen Aegypten: Gericht, Polemik und Goetterfrage</w:t>
      </w:r>
    </w:p>
    <w:p>
      <w:r>
        <w:rPr>
          <w:rFonts w:ascii="Arial" w:hAnsi="Arial"/>
        </w:rPr>
        <w:t>Die Exodus-Plagen sind literarisch als Machterweis JHWHs gestaltet: Pharaohs Herz wird hart, Aegypten leidet, Israel wird herausgefuehrt, und JHWH zeigt, dass er ueber Pharaoh und Aegypten steht. Exodus 12,12 spricht sogar vom Gericht an den Goettern Aegyptens. Daher ist die Frage berechtigt: Warum greifen aegyptische Schutzgoetter nicht ein?</w:t>
      </w:r>
      <w:r>
        <w:footnoteReference w:id="69"/>
      </w:r>
    </w:p>
    <w:p>
      <w:r>
        <w:rPr>
          <w:rFonts w:ascii="Arial" w:hAnsi="Arial"/>
        </w:rPr>
        <w:t>Die quellenkritische Antwort lautet: Der Text ist kein neutraler Bericht eines objektiven Goetterkampfes, sondern israelitische Theologie. Er erzaehlt den Konflikt so, dass JHWH alle aegyptischen Machtinstanzen ueberbietet. Ziony Zevit beziehungsweise die BAS-Zusammenfassung der Plagendeutungen nennt mehrere Lesarten: Naturereignisse, theologische Polemik gegen aegyptische Goetter und literarische Machtdemonstration. Zugleich ist eine einfache Zuordnung jeder Plage zu genau einem aegyptischen Gott unsicher.</w:t>
      </w:r>
    </w:p>
    <w:p>
      <w:r>
        <w:rPr>
          <w:rFonts w:ascii="Arial" w:hAnsi="Arial"/>
        </w:rPr>
        <w:t>Das bedeutet: Die Plagen koennen als literarischer 'Clash' JHWHs mit Aegyptens Goetter- und Machtwelt gelesen werden. Sie beweisen aber nicht historisch, dass reale aegyptische Goetter unterlagen oder nicht eingreifen konnten. Sie zeigen vielmehr, wie die biblische Erzaehlung JHWHs Ueberlegenheit konstruiert.</w:t>
      </w:r>
    </w:p>
    <w:p>
      <w:pPr>
        <w:pStyle w:val="Heading2"/>
      </w:pPr>
      <w:r>
        <w:t>7. Warum greifen andere Elohim nicht ein?</w:t>
      </w:r>
    </w:p>
    <w:p>
      <w:r>
        <w:rPr>
          <w:rFonts w:ascii="Arial" w:hAnsi="Arial"/>
        </w:rPr>
        <w:t>Innerhalb der aelteren Ratslogik waere die Frage sinnvoll: Wenn JHWH einer der goettlichen Soehne oder ein Nationalgott Israels war, warum verhindert El oder der goettliche Rat nicht seine Gewalt? Die Bibel gibt darauf keine direkte Antwort. Das liegt daran, dass die relevanten Texte meist nicht mehr aus der Perspektive eines pluralen Rates erzaehlen, sondern aus einer JHWH-zentrierten Perspektive. Andere Goetter werden zu falschen Goettern, ohnmaechtigen Goettern, Daemonen, Engeln oder literarischen Erinnerungen.</w:t>
      </w:r>
    </w:p>
    <w:p>
      <w:r>
        <w:rPr>
          <w:rFonts w:ascii="Arial" w:hAnsi="Arial"/>
        </w:rPr>
        <w:t>Religionsgeschichtlich kann man sagen: Je staerker JHWH mit El identifiziert und zum einzigen Gott erhoben wird, desto weniger bleibt ein hoeheres Kontrollorgan denkbar. Die moralische Frage verschiebt sich dadurch. Frueher koennte man fragen: Hat El JHWH erlaubt? Spaeter muss man fragen: Warum handelt der einzige Gott selbst so? Genau diese Verschiebung macht das Problem des Gottesbildes im Monotheismus schaerfer.</w:t>
      </w:r>
      <w:r>
        <w:footnoteReference w:id="70"/>
      </w:r>
    </w:p>
    <w:p>
      <w:pPr>
        <w:pStyle w:val="Heading2"/>
      </w:pPr>
      <w:r>
        <w:t>7.1 Verbindung zum Modell vom goettlichen Rat</w:t>
      </w:r>
    </w:p>
    <w:p>
      <w:r>
        <w:rPr>
          <w:rFonts w:ascii="Arial" w:hAnsi="Arial"/>
        </w:rPr>
        <w:t>Kapitel 8 ist fuer das Hauptmodell deshalb zentral, weil Gewalt im polytheistischen Umfeld anders verteilt werden kann als im Monotheismus. In einer pluralen Goetterwelt koennen Krieg, Chaos, Krankheit, Tod, Fruchtbarkeit, Unterwelt und Gericht verschiedenen Maechten zugeschrieben werden. Sobald JHWH als einziger universaler Gott gilt, werden Befreiung und Vernichtung, Barmherzigkeit und Strafe, Opfernaehe und Gewaltgericht in derselben Gottesfigur konzentriert.</w:t>
      </w:r>
    </w:p>
    <w:p>
      <w:r>
        <w:rPr>
          <w:rFonts w:ascii="Arial" w:hAnsi="Arial"/>
        </w:rPr>
        <w:t>Das bedeutet nicht, dass der Monotheismus Gewalt erfindet. Gewalt, Krieg und Opfer sind aelter und im gesamten altorientalischen Raum verbreitet. Aber der spaetere Monotheismus nimmt der Gewaltfrage eine Ausweichmoeglichkeit: Man kann das Boese nicht mehr dauerhaft einem gleichrangigen Gegengott oder einer unabhaengigen Chaosmacht zuschreiben. Deshalb entstehen in spaeteren Texten Engel, Satanfiguren, Daemonen, Gerichtshof- und Endzeitbilder als neue Erklaerungsformen, ohne dass JHWH seine letzte Souveraenitaet verliert.</w:t>
      </w:r>
      <w:r>
        <w:footnoteReference w:id="71"/>
      </w:r>
    </w:p>
    <w:p>
      <w:r>
        <w:br w:type="page"/>
      </w:r>
    </w:p>
    <w:p>
      <w:pPr>
        <w:pStyle w:val="Heading2"/>
      </w:pPr>
      <w:r>
        <w:t>8. Bewertungsmatrix: Textbefund und Deutung</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Thema</w:t>
            </w:r>
          </w:p>
        </w:tc>
        <w:tc>
          <w:tcPr>
            <w:tcW w:type="dxa" w:w="2500"/>
            <w:vAlign w:val="top"/>
            <w:shd w:fill="F1F3F4"/>
          </w:tcPr>
          <w:p>
            <w:r/>
            <w:r>
              <w:rPr>
                <w:rFonts w:ascii="Arial" w:hAnsi="Arial"/>
                <w:b/>
                <w:sz w:val="16"/>
              </w:rPr>
              <w:t>Bewertung</w:t>
            </w:r>
          </w:p>
        </w:tc>
        <w:tc>
          <w:tcPr>
            <w:tcW w:type="dxa" w:w="3200"/>
            <w:vAlign w:val="top"/>
            <w:shd w:fill="F1F3F4"/>
          </w:tcPr>
          <w:p>
            <w:r/>
            <w:r>
              <w:rPr>
                <w:rFonts w:ascii="Arial" w:hAnsi="Arial"/>
                <w:b/>
                <w:sz w:val="16"/>
              </w:rPr>
              <w:t>Belege</w:t>
            </w:r>
          </w:p>
        </w:tc>
        <w:tc>
          <w:tcPr>
            <w:tcW w:type="dxa" w:w="1500"/>
            <w:vAlign w:val="top"/>
            <w:shd w:fill="F1F3F4"/>
          </w:tcPr>
          <w:p>
            <w:r/>
            <w:r>
              <w:rPr>
                <w:rFonts w:ascii="Arial" w:hAnsi="Arial"/>
                <w:b/>
                <w:sz w:val="16"/>
              </w:rPr>
              <w:t>Folge fuer die Ausarbeitung</w:t>
            </w:r>
          </w:p>
        </w:tc>
      </w:tr>
      <w:tr>
        <w:tc>
          <w:tcPr>
            <w:tcW w:type="dxa" w:w="1800"/>
            <w:vAlign w:val="top"/>
          </w:tcPr>
          <w:p>
            <w:r/>
            <w:r>
              <w:rPr>
                <w:rFonts w:ascii="Arial" w:hAnsi="Arial"/>
                <w:b w:val="0"/>
                <w:sz w:val="16"/>
              </w:rPr>
              <w:t>JHWH als Krieger</w:t>
            </w:r>
          </w:p>
        </w:tc>
        <w:tc>
          <w:tcPr>
            <w:tcW w:type="dxa" w:w="2500"/>
            <w:vAlign w:val="top"/>
          </w:tcPr>
          <w:p>
            <w:r/>
            <w:r>
              <w:rPr>
                <w:rFonts w:ascii="Arial" w:hAnsi="Arial"/>
                <w:b w:val="0"/>
                <w:sz w:val="16"/>
              </w:rPr>
              <w:t>Gut belegt</w:t>
            </w:r>
          </w:p>
        </w:tc>
        <w:tc>
          <w:tcPr>
            <w:tcW w:type="dxa" w:w="3200"/>
            <w:vAlign w:val="top"/>
          </w:tcPr>
          <w:p>
            <w:r/>
            <w:r>
              <w:rPr>
                <w:rFonts w:ascii="Arial" w:hAnsi="Arial"/>
                <w:b w:val="0"/>
                <w:sz w:val="16"/>
              </w:rPr>
              <w:t>Ex 15, Deuteronomium, Josua, Psalmen, Propheten</w:t>
            </w:r>
          </w:p>
        </w:tc>
        <w:tc>
          <w:tcPr>
            <w:tcW w:type="dxa" w:w="1500"/>
            <w:vAlign w:val="top"/>
          </w:tcPr>
          <w:p>
            <w:r/>
            <w:r>
              <w:rPr>
                <w:rFonts w:ascii="Arial" w:hAnsi="Arial"/>
                <w:b w:val="0"/>
                <w:sz w:val="16"/>
              </w:rPr>
              <w:t>Altorientalisch plausibel, ethisch problematisch.</w:t>
            </w:r>
          </w:p>
        </w:tc>
      </w:tr>
      <w:tr>
        <w:tc>
          <w:tcPr>
            <w:tcW w:type="dxa" w:w="1800"/>
            <w:vAlign w:val="top"/>
          </w:tcPr>
          <w:p>
            <w:r/>
            <w:r>
              <w:rPr>
                <w:rFonts w:ascii="Arial" w:hAnsi="Arial"/>
                <w:b w:val="0"/>
                <w:sz w:val="16"/>
              </w:rPr>
              <w:t>Herem/Bannkrieg</w:t>
            </w:r>
          </w:p>
        </w:tc>
        <w:tc>
          <w:tcPr>
            <w:tcW w:type="dxa" w:w="2500"/>
            <w:vAlign w:val="top"/>
          </w:tcPr>
          <w:p>
            <w:r/>
            <w:r>
              <w:rPr>
                <w:rFonts w:ascii="Arial" w:hAnsi="Arial"/>
                <w:b w:val="0"/>
                <w:sz w:val="16"/>
              </w:rPr>
              <w:t>Gut belegt als Textmotiv</w:t>
            </w:r>
          </w:p>
        </w:tc>
        <w:tc>
          <w:tcPr>
            <w:tcW w:type="dxa" w:w="3200"/>
            <w:vAlign w:val="top"/>
          </w:tcPr>
          <w:p>
            <w:r/>
            <w:r>
              <w:rPr>
                <w:rFonts w:ascii="Arial" w:hAnsi="Arial"/>
                <w:b w:val="0"/>
                <w:sz w:val="16"/>
              </w:rPr>
              <w:t>Dtn 7; Dtn 20; Josua; Num 21</w:t>
            </w:r>
          </w:p>
        </w:tc>
        <w:tc>
          <w:tcPr>
            <w:tcW w:type="dxa" w:w="1500"/>
            <w:vAlign w:val="top"/>
          </w:tcPr>
          <w:p>
            <w:r/>
            <w:r>
              <w:rPr>
                <w:rFonts w:ascii="Arial" w:hAnsi="Arial"/>
                <w:b w:val="0"/>
                <w:sz w:val="16"/>
              </w:rPr>
              <w:t>Historische Totalvernichtung unsicher; Ideologie sehr gewaltsam.</w:t>
            </w:r>
          </w:p>
        </w:tc>
      </w:tr>
      <w:tr>
        <w:tc>
          <w:tcPr>
            <w:tcW w:type="dxa" w:w="1800"/>
            <w:vAlign w:val="top"/>
          </w:tcPr>
          <w:p>
            <w:r/>
            <w:r>
              <w:rPr>
                <w:rFonts w:ascii="Arial" w:hAnsi="Arial"/>
                <w:b w:val="0"/>
                <w:sz w:val="16"/>
              </w:rPr>
              <w:t>Tieropfer</w:t>
            </w:r>
          </w:p>
        </w:tc>
        <w:tc>
          <w:tcPr>
            <w:tcW w:type="dxa" w:w="2500"/>
            <w:vAlign w:val="top"/>
          </w:tcPr>
          <w:p>
            <w:r/>
            <w:r>
              <w:rPr>
                <w:rFonts w:ascii="Arial" w:hAnsi="Arial"/>
                <w:b w:val="0"/>
                <w:sz w:val="16"/>
              </w:rPr>
              <w:t>Gut belegt</w:t>
            </w:r>
          </w:p>
        </w:tc>
        <w:tc>
          <w:tcPr>
            <w:tcW w:type="dxa" w:w="3200"/>
            <w:vAlign w:val="top"/>
          </w:tcPr>
          <w:p>
            <w:r/>
            <w:r>
              <w:rPr>
                <w:rFonts w:ascii="Arial" w:hAnsi="Arial"/>
                <w:b w:val="0"/>
                <w:sz w:val="16"/>
              </w:rPr>
              <w:t>Levitikus, Numeri, altorientalische Parallelen</w:t>
            </w:r>
          </w:p>
        </w:tc>
        <w:tc>
          <w:tcPr>
            <w:tcW w:type="dxa" w:w="1500"/>
            <w:vAlign w:val="top"/>
          </w:tcPr>
          <w:p>
            <w:r/>
            <w:r>
              <w:rPr>
                <w:rFonts w:ascii="Arial" w:hAnsi="Arial"/>
                <w:b w:val="0"/>
                <w:sz w:val="16"/>
              </w:rPr>
              <w:t>Kultisch real, nicht nur Symbol; spaeter zunehmend umgedeutet.</w:t>
            </w:r>
          </w:p>
        </w:tc>
      </w:tr>
      <w:tr>
        <w:tc>
          <w:tcPr>
            <w:tcW w:type="dxa" w:w="1800"/>
            <w:vAlign w:val="top"/>
          </w:tcPr>
          <w:p>
            <w:r/>
            <w:r>
              <w:rPr>
                <w:rFonts w:ascii="Arial" w:hAnsi="Arial"/>
                <w:b w:val="0"/>
                <w:sz w:val="16"/>
              </w:rPr>
              <w:t>Kinderopfer im JHWH-Kontext</w:t>
            </w:r>
          </w:p>
        </w:tc>
        <w:tc>
          <w:tcPr>
            <w:tcW w:type="dxa" w:w="2500"/>
            <w:vAlign w:val="top"/>
          </w:tcPr>
          <w:p>
            <w:r/>
            <w:r>
              <w:rPr>
                <w:rFonts w:ascii="Arial" w:hAnsi="Arial"/>
                <w:b w:val="0"/>
                <w:sz w:val="16"/>
              </w:rPr>
              <w:t>Strittig, aber ernst zu nehmen</w:t>
            </w:r>
          </w:p>
        </w:tc>
        <w:tc>
          <w:tcPr>
            <w:tcW w:type="dxa" w:w="3200"/>
            <w:vAlign w:val="top"/>
          </w:tcPr>
          <w:p>
            <w:r/>
            <w:r>
              <w:rPr>
                <w:rFonts w:ascii="Arial" w:hAnsi="Arial"/>
                <w:b w:val="0"/>
                <w:sz w:val="16"/>
              </w:rPr>
              <w:t>Gen 22; Erstgeburtsgesetze; Jer/Ez/Molech-Polemik</w:t>
            </w:r>
          </w:p>
        </w:tc>
        <w:tc>
          <w:tcPr>
            <w:tcW w:type="dxa" w:w="1500"/>
            <w:vAlign w:val="top"/>
          </w:tcPr>
          <w:p>
            <w:r/>
            <w:r>
              <w:rPr>
                <w:rFonts w:ascii="Arial" w:hAnsi="Arial"/>
                <w:b w:val="0"/>
                <w:sz w:val="16"/>
              </w:rPr>
              <w:t>Spaetere Ablehnung klar; fruehere Praxis/Nahe zum JHWH-Kult diskutiert.</w:t>
            </w:r>
          </w:p>
        </w:tc>
      </w:tr>
      <w:tr>
        <w:tc>
          <w:tcPr>
            <w:tcW w:type="dxa" w:w="1800"/>
            <w:vAlign w:val="top"/>
          </w:tcPr>
          <w:p>
            <w:r/>
            <w:r>
              <w:rPr>
                <w:rFonts w:ascii="Arial" w:hAnsi="Arial"/>
                <w:b w:val="0"/>
                <w:sz w:val="16"/>
              </w:rPr>
              <w:t>Plagen als Goetterkampf</w:t>
            </w:r>
          </w:p>
        </w:tc>
        <w:tc>
          <w:tcPr>
            <w:tcW w:type="dxa" w:w="2500"/>
            <w:vAlign w:val="top"/>
          </w:tcPr>
          <w:p>
            <w:r/>
            <w:r>
              <w:rPr>
                <w:rFonts w:ascii="Arial" w:hAnsi="Arial"/>
                <w:b w:val="0"/>
                <w:sz w:val="16"/>
              </w:rPr>
              <w:t>Plausibel als literarische Polemik</w:t>
            </w:r>
          </w:p>
        </w:tc>
        <w:tc>
          <w:tcPr>
            <w:tcW w:type="dxa" w:w="3200"/>
            <w:vAlign w:val="top"/>
          </w:tcPr>
          <w:p>
            <w:r/>
            <w:r>
              <w:rPr>
                <w:rFonts w:ascii="Arial" w:hAnsi="Arial"/>
                <w:b w:val="0"/>
                <w:sz w:val="16"/>
              </w:rPr>
              <w:t>Ex 7-12; Ex 12,12</w:t>
            </w:r>
          </w:p>
        </w:tc>
        <w:tc>
          <w:tcPr>
            <w:tcW w:type="dxa" w:w="1500"/>
            <w:vAlign w:val="top"/>
          </w:tcPr>
          <w:p>
            <w:r/>
            <w:r>
              <w:rPr>
                <w:rFonts w:ascii="Arial" w:hAnsi="Arial"/>
                <w:b w:val="0"/>
                <w:sz w:val="16"/>
              </w:rPr>
              <w:t>Keine neutrale Historie eines realen Goetterkriegs.</w:t>
            </w:r>
          </w:p>
        </w:tc>
      </w:tr>
      <w:tr>
        <w:tc>
          <w:tcPr>
            <w:tcW w:type="dxa" w:w="1800"/>
            <w:vAlign w:val="top"/>
          </w:tcPr>
          <w:p>
            <w:r/>
            <w:r>
              <w:rPr>
                <w:rFonts w:ascii="Arial" w:hAnsi="Arial"/>
                <w:b w:val="0"/>
                <w:sz w:val="16"/>
              </w:rPr>
              <w:t>Gewalt als Durchsetzung von Loyalitaet</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Deuteronomistische Theologie, Bund, Eifersucht, Idolatriepolemik</w:t>
            </w:r>
          </w:p>
        </w:tc>
        <w:tc>
          <w:tcPr>
            <w:tcW w:type="dxa" w:w="1500"/>
            <w:vAlign w:val="top"/>
          </w:tcPr>
          <w:p>
            <w:r/>
            <w:r>
              <w:rPr>
                <w:rFonts w:ascii="Arial" w:hAnsi="Arial"/>
                <w:b w:val="0"/>
                <w:sz w:val="16"/>
              </w:rPr>
              <w:t>Zentraler Punkt fuer die These.</w:t>
            </w:r>
          </w:p>
        </w:tc>
      </w:tr>
      <w:tr>
        <w:tc>
          <w:tcPr>
            <w:tcW w:type="dxa" w:w="1800"/>
            <w:vAlign w:val="top"/>
          </w:tcPr>
          <w:p>
            <w:r/>
            <w:r>
              <w:rPr>
                <w:rFonts w:ascii="Arial" w:hAnsi="Arial"/>
                <w:b w:val="0"/>
                <w:sz w:val="16"/>
              </w:rPr>
              <w:t>Andere Elohim greifen nicht ein</w:t>
            </w:r>
          </w:p>
        </w:tc>
        <w:tc>
          <w:tcPr>
            <w:tcW w:type="dxa" w:w="2500"/>
            <w:vAlign w:val="top"/>
          </w:tcPr>
          <w:p>
            <w:r/>
            <w:r>
              <w:rPr>
                <w:rFonts w:ascii="Arial" w:hAnsi="Arial"/>
                <w:b w:val="0"/>
                <w:sz w:val="16"/>
              </w:rPr>
              <w:t>Nicht direkt beantwortet</w:t>
            </w:r>
          </w:p>
        </w:tc>
        <w:tc>
          <w:tcPr>
            <w:tcW w:type="dxa" w:w="3200"/>
            <w:vAlign w:val="top"/>
          </w:tcPr>
          <w:p>
            <w:r/>
            <w:r>
              <w:rPr>
                <w:rFonts w:ascii="Arial" w:hAnsi="Arial"/>
                <w:b w:val="0"/>
                <w:sz w:val="16"/>
              </w:rPr>
              <w:t>Aeltere Ratsreste vs. spaeter Monotheismus</w:t>
            </w:r>
          </w:p>
        </w:tc>
        <w:tc>
          <w:tcPr>
            <w:tcW w:type="dxa" w:w="1500"/>
            <w:vAlign w:val="top"/>
          </w:tcPr>
          <w:p>
            <w:r/>
            <w:r>
              <w:rPr>
                <w:rFonts w:ascii="Arial" w:hAnsi="Arial"/>
                <w:b w:val="0"/>
                <w:sz w:val="16"/>
              </w:rPr>
              <w:t>Je spaeter die Texte, desto weniger bleibt ein hoeheres Kontrollorgan.</w:t>
            </w:r>
          </w:p>
        </w:tc>
      </w:tr>
      <w:tr>
        <w:tc>
          <w:tcPr>
            <w:tcW w:type="dxa" w:w="1800"/>
            <w:vAlign w:val="top"/>
          </w:tcPr>
          <w:p>
            <w:r/>
            <w:r>
              <w:rPr>
                <w:rFonts w:ascii="Arial" w:hAnsi="Arial"/>
                <w:b w:val="0"/>
                <w:sz w:val="16"/>
              </w:rPr>
              <w:t>JHWH als moralisch eindeutig guter Gott</w:t>
            </w:r>
          </w:p>
        </w:tc>
        <w:tc>
          <w:tcPr>
            <w:tcW w:type="dxa" w:w="2500"/>
            <w:vAlign w:val="top"/>
          </w:tcPr>
          <w:p>
            <w:r/>
            <w:r>
              <w:rPr>
                <w:rFonts w:ascii="Arial" w:hAnsi="Arial"/>
                <w:b w:val="0"/>
                <w:sz w:val="16"/>
              </w:rPr>
              <w:t>Textlich nicht spannungsfrei</w:t>
            </w:r>
          </w:p>
        </w:tc>
        <w:tc>
          <w:tcPr>
            <w:tcW w:type="dxa" w:w="3200"/>
            <w:vAlign w:val="top"/>
          </w:tcPr>
          <w:p>
            <w:r/>
            <w:r>
              <w:rPr>
                <w:rFonts w:ascii="Arial" w:hAnsi="Arial"/>
                <w:b w:val="0"/>
                <w:sz w:val="16"/>
              </w:rPr>
              <w:t>Befreiung, Recht, Barmherzigkeit neben Krieg, Gericht, Opfer</w:t>
            </w:r>
          </w:p>
        </w:tc>
        <w:tc>
          <w:tcPr>
            <w:tcW w:type="dxa" w:w="1500"/>
            <w:vAlign w:val="top"/>
          </w:tcPr>
          <w:p>
            <w:r/>
            <w:r>
              <w:rPr>
                <w:rFonts w:ascii="Arial" w:hAnsi="Arial"/>
                <w:b w:val="0"/>
                <w:sz w:val="16"/>
              </w:rPr>
              <w:t>Nur mit innerbiblischer Entwicklung und kritischer Hermeneutik haltbar.</w:t>
            </w:r>
          </w:p>
        </w:tc>
      </w:tr>
    </w:tbl>
    <w:p>
      <w:pPr>
        <w:pStyle w:val="Heading2"/>
      </w:pPr>
      <w:r>
        <w:t>8.1 Beleggrad fuer die konkrete Gewaltthese</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These/Frage</w:t>
            </w:r>
          </w:p>
        </w:tc>
        <w:tc>
          <w:tcPr>
            <w:tcW w:type="dxa" w:w="2500"/>
            <w:vAlign w:val="top"/>
            <w:shd w:fill="F1F3F4"/>
          </w:tcPr>
          <w:p>
            <w:r/>
            <w:r>
              <w:rPr>
                <w:rFonts w:ascii="Arial" w:hAnsi="Arial"/>
                <w:b/>
                <w:sz w:val="16"/>
              </w:rPr>
              <w:t>Beleggrad</w:t>
            </w:r>
          </w:p>
        </w:tc>
        <w:tc>
          <w:tcPr>
            <w:tcW w:type="dxa" w:w="3200"/>
            <w:vAlign w:val="top"/>
            <w:shd w:fill="F1F3F4"/>
          </w:tcPr>
          <w:p>
            <w:r/>
            <w:r>
              <w:rPr>
                <w:rFonts w:ascii="Arial" w:hAnsi="Arial"/>
                <w:b/>
                <w:sz w:val="16"/>
              </w:rPr>
              <w:t>Grund</w:t>
            </w:r>
          </w:p>
        </w:tc>
        <w:tc>
          <w:tcPr>
            <w:tcW w:type="dxa" w:w="1500"/>
            <w:vAlign w:val="top"/>
            <w:shd w:fill="F1F3F4"/>
          </w:tcPr>
          <w:p>
            <w:r/>
            <w:r>
              <w:rPr>
                <w:rFonts w:ascii="Arial" w:hAnsi="Arial"/>
                <w:b/>
                <w:sz w:val="16"/>
              </w:rPr>
              <w:t>Arbeitsentscheidung</w:t>
            </w:r>
          </w:p>
        </w:tc>
      </w:tr>
      <w:tr>
        <w:tc>
          <w:tcPr>
            <w:tcW w:type="dxa" w:w="1800"/>
            <w:vAlign w:val="top"/>
          </w:tcPr>
          <w:p>
            <w:r/>
            <w:r>
              <w:rPr>
                <w:rFonts w:ascii="Arial" w:hAnsi="Arial"/>
                <w:b w:val="0"/>
                <w:sz w:val="16"/>
              </w:rPr>
              <w:t>JHWH fordert exklusive Loyalitaet mit Drohung und Strafe.</w:t>
            </w:r>
          </w:p>
        </w:tc>
        <w:tc>
          <w:tcPr>
            <w:tcW w:type="dxa" w:w="2500"/>
            <w:vAlign w:val="top"/>
          </w:tcPr>
          <w:p>
            <w:r/>
            <w:r>
              <w:rPr>
                <w:rFonts w:ascii="Arial" w:hAnsi="Arial"/>
                <w:b w:val="0"/>
                <w:sz w:val="16"/>
              </w:rPr>
              <w:t>Belegt</w:t>
            </w:r>
          </w:p>
        </w:tc>
        <w:tc>
          <w:tcPr>
            <w:tcW w:type="dxa" w:w="3200"/>
            <w:vAlign w:val="top"/>
          </w:tcPr>
          <w:p>
            <w:r/>
            <w:r>
              <w:rPr>
                <w:rFonts w:ascii="Arial" w:hAnsi="Arial"/>
                <w:b w:val="0"/>
                <w:sz w:val="16"/>
              </w:rPr>
              <w:t>Dekalog, Dtn 6; Dtn 13; Dtn 28</w:t>
            </w:r>
          </w:p>
        </w:tc>
        <w:tc>
          <w:tcPr>
            <w:tcW w:type="dxa" w:w="1500"/>
            <w:vAlign w:val="top"/>
          </w:tcPr>
          <w:p>
            <w:r/>
            <w:r>
              <w:rPr>
                <w:rFonts w:ascii="Arial" w:hAnsi="Arial"/>
                <w:b w:val="0"/>
                <w:sz w:val="16"/>
              </w:rPr>
              <w:t>Als harter Textbefund verwenden.</w:t>
            </w:r>
          </w:p>
        </w:tc>
      </w:tr>
      <w:tr>
        <w:tc>
          <w:tcPr>
            <w:tcW w:type="dxa" w:w="1800"/>
            <w:vAlign w:val="top"/>
          </w:tcPr>
          <w:p>
            <w:r/>
            <w:r>
              <w:rPr>
                <w:rFonts w:ascii="Arial" w:hAnsi="Arial"/>
                <w:b w:val="0"/>
                <w:sz w:val="16"/>
              </w:rPr>
              <w:t>JHWH-Kult setzt sich auch durch Gewalt- und Vernichtungsrhetorik gegen Konkurrenzkulte ab.</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Herem, Kultzentralisation, Baal-/Fremdgoetterpolemik</w:t>
            </w:r>
          </w:p>
        </w:tc>
        <w:tc>
          <w:tcPr>
            <w:tcW w:type="dxa" w:w="1500"/>
            <w:vAlign w:val="top"/>
          </w:tcPr>
          <w:p>
            <w:r/>
            <w:r>
              <w:rPr>
                <w:rFonts w:ascii="Arial" w:hAnsi="Arial"/>
                <w:b w:val="0"/>
                <w:sz w:val="16"/>
              </w:rPr>
              <w:t>Tragende Teilthese.</w:t>
            </w:r>
          </w:p>
        </w:tc>
      </w:tr>
      <w:tr>
        <w:tc>
          <w:tcPr>
            <w:tcW w:type="dxa" w:w="1800"/>
            <w:vAlign w:val="top"/>
          </w:tcPr>
          <w:p>
            <w:r/>
            <w:r>
              <w:rPr>
                <w:rFonts w:ascii="Arial" w:hAnsi="Arial"/>
                <w:b w:val="0"/>
                <w:sz w:val="16"/>
              </w:rPr>
              <w:t>Die biblischen Autoren beschreiben einen historischen Sieg JHWHs ueber reale andere Goetter.</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Polemik ja; neutraler Goetterkrieg nein</w:t>
            </w:r>
          </w:p>
        </w:tc>
        <w:tc>
          <w:tcPr>
            <w:tcW w:type="dxa" w:w="1500"/>
            <w:vAlign w:val="top"/>
          </w:tcPr>
          <w:p>
            <w:r/>
            <w:r>
              <w:rPr>
                <w:rFonts w:ascii="Arial" w:hAnsi="Arial"/>
                <w:b w:val="0"/>
                <w:sz w:val="16"/>
              </w:rPr>
              <w:t>Nur als literarische Siegerperspektive formulieren.</w:t>
            </w:r>
          </w:p>
        </w:tc>
      </w:tr>
      <w:tr>
        <w:tc>
          <w:tcPr>
            <w:tcW w:type="dxa" w:w="1800"/>
            <w:vAlign w:val="top"/>
          </w:tcPr>
          <w:p>
            <w:r/>
            <w:r>
              <w:rPr>
                <w:rFonts w:ascii="Arial" w:hAnsi="Arial"/>
                <w:b w:val="0"/>
                <w:sz w:val="16"/>
              </w:rPr>
              <w:t>JHWH ist deshalb der 'boese Gott'.</w:t>
            </w:r>
          </w:p>
        </w:tc>
        <w:tc>
          <w:tcPr>
            <w:tcW w:type="dxa" w:w="2500"/>
            <w:vAlign w:val="top"/>
          </w:tcPr>
          <w:p>
            <w:r/>
            <w:r>
              <w:rPr>
                <w:rFonts w:ascii="Arial" w:hAnsi="Arial"/>
                <w:b w:val="0"/>
                <w:sz w:val="16"/>
              </w:rPr>
              <w:t>Werturteil, nicht beweisbar</w:t>
            </w:r>
          </w:p>
        </w:tc>
        <w:tc>
          <w:tcPr>
            <w:tcW w:type="dxa" w:w="3200"/>
            <w:vAlign w:val="top"/>
          </w:tcPr>
          <w:p>
            <w:r/>
            <w:r>
              <w:rPr>
                <w:rFonts w:ascii="Arial" w:hAnsi="Arial"/>
                <w:b w:val="0"/>
                <w:sz w:val="16"/>
              </w:rPr>
              <w:t>Gewalttexte stehen neben Befreiungs-, Rechts- und Barmherzigkeitstexten</w:t>
            </w:r>
          </w:p>
        </w:tc>
        <w:tc>
          <w:tcPr>
            <w:tcW w:type="dxa" w:w="1500"/>
            <w:vAlign w:val="top"/>
          </w:tcPr>
          <w:p>
            <w:r/>
            <w:r>
              <w:rPr>
                <w:rFonts w:ascii="Arial" w:hAnsi="Arial"/>
                <w:b w:val="0"/>
                <w:sz w:val="16"/>
              </w:rPr>
              <w:t>Als ethische Kritik formulieren, nicht als historische Tatsache.</w:t>
            </w:r>
          </w:p>
        </w:tc>
      </w:tr>
      <w:tr>
        <w:tc>
          <w:tcPr>
            <w:tcW w:type="dxa" w:w="1800"/>
            <w:vAlign w:val="top"/>
          </w:tcPr>
          <w:p>
            <w:r/>
            <w:r>
              <w:rPr>
                <w:rFonts w:ascii="Arial" w:hAnsi="Arial"/>
                <w:b w:val="0"/>
                <w:sz w:val="16"/>
              </w:rPr>
              <w:t>Der Monotheismus verschaerft die Gewaltfrage.</w:t>
            </w:r>
          </w:p>
        </w:tc>
        <w:tc>
          <w:tcPr>
            <w:tcW w:type="dxa" w:w="2500"/>
            <w:vAlign w:val="top"/>
          </w:tcPr>
          <w:p>
            <w:r/>
            <w:r>
              <w:rPr>
                <w:rFonts w:ascii="Arial" w:hAnsi="Arial"/>
                <w:b w:val="0"/>
                <w:sz w:val="16"/>
              </w:rPr>
              <w:t>Gut begruendbar</w:t>
            </w:r>
          </w:p>
        </w:tc>
        <w:tc>
          <w:tcPr>
            <w:tcW w:type="dxa" w:w="3200"/>
            <w:vAlign w:val="top"/>
          </w:tcPr>
          <w:p>
            <w:r/>
            <w:r>
              <w:rPr>
                <w:rFonts w:ascii="Arial" w:hAnsi="Arial"/>
                <w:b w:val="0"/>
                <w:sz w:val="16"/>
              </w:rPr>
              <w:t>Alle Macht, Gericht und Verantwortung werden auf einen Gott konzentriert</w:t>
            </w:r>
          </w:p>
        </w:tc>
        <w:tc>
          <w:tcPr>
            <w:tcW w:type="dxa" w:w="1500"/>
            <w:vAlign w:val="top"/>
          </w:tcPr>
          <w:p>
            <w:r/>
            <w:r>
              <w:rPr>
                <w:rFonts w:ascii="Arial" w:hAnsi="Arial"/>
                <w:b w:val="0"/>
                <w:sz w:val="16"/>
              </w:rPr>
              <w:t>Wichtiger Synthesepunkt.</w:t>
            </w:r>
          </w:p>
        </w:tc>
      </w:tr>
    </w:tbl>
    <w:p>
      <w:pPr>
        <w:pStyle w:val="Heading2"/>
      </w:pPr>
      <w:r>
        <w:t>9. Bedeutung fuer die Hauptthese</w:t>
      </w:r>
    </w:p>
    <w:p>
      <w:r>
        <w:rPr>
          <w:rFonts w:ascii="Arial" w:hAnsi="Arial"/>
        </w:rPr>
        <w:t>Kapitel 8 staerkt die kritische Grundintuition: Der biblische JHWH ist in vielen Texten kein rein liebender, gewaltfreier oder modern-moralischer Gott. Er fordert exklusive Loyalitaet, straft Konkurrenzkult, legitimiert Krieg, akzeptiert oder verlangt Opfer und setzt Gericht als Machterweis ein. Wer diesen Befund glatt harmonisiert, nimmt die Texte nicht ernst.</w:t>
      </w:r>
    </w:p>
    <w:p>
      <w:r>
        <w:rPr>
          <w:rFonts w:ascii="Arial" w:hAnsi="Arial"/>
        </w:rPr>
        <w:t>Gleichzeitig muss die Auswertung wissenschaftlich differenzieren: Nicht jeder Gewalttext ist historischer Bericht; viele sind Kriegsideologie, Kultpolemik, Vertragsfluch, Exilserklaerung, Gerichtsrede oder spaetere theologische Rueckprojektion. Gerade diese Vielschichtigkeit ist fuer unser Hauptthema entscheidend: Der Aufstieg JHWHs zum einzigen Gott loest die Gewaltprobleme nicht, sondern konzentriert sie. Was frueher als Konflikt zwischen Goettern, Voelkern und Kulten erzaehlt werden konnte, wird im Monotheismus zu einem Problem des einen Gottes selbst.</w:t>
      </w:r>
    </w:p>
    <w:p>
      <w:pPr>
        <w:pStyle w:val="Heading2"/>
      </w:pPr>
      <w:r>
        <w:t>10. Ergebnis und Kapitelstatus</w:t>
      </w:r>
    </w:p>
    <w:p>
      <w:r>
        <w:rPr>
          <w:rFonts w:ascii="Arial" w:hAnsi="Arial"/>
        </w:rPr>
        <w:t>Kapitel 8 liegt als druckreife Lesefassung V1 vor. Ergebnis: Die Gewalt- und Opfertexte sind keine Randfrage, sondern ein Hauptproblem der gesamten Bibelanalyse. Sie zeigen, dass JHWHs exklusiver Anspruch in vielen Texten durch Drohung, Gericht, Opfer und Gewalt erzaehlt wird. Wissenschaftlich tragfaehig ist nicht die einfache Behauptung, JHWH sei deshalb 'boese', sondern die genaue Analyse, wie antike Religion, Staatsbildung, Kultkonkurrenz, Deuteronomismus, Exiltheologie und spaetere Monotheisierung ein Gottesbild erzeugen, das Befreiung und Gewalt zugleich traegt. Das Kapitel beantwortet zudem die Fragen nach anderen Elohim, aegyptischen Schutzgoettern und der Grenze zwischen belegbarer Gewaltpolemik und unbelegtem realem Goetterkrieg.</w:t>
      </w:r>
    </w:p>
    <w:p>
      <w:pPr>
        <w:pStyle w:val="Heading2"/>
      </w:pPr>
      <w:r>
        <w:t>11. Druckreifepruefung Kapitel 8</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Leitfrage beantwortet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Gewalt, Opfer, Plagen und Gericht werden als Kernproblem des JHWH-Gottesbildes ausgewertet.</w:t>
            </w:r>
          </w:p>
        </w:tc>
      </w:tr>
      <w:tr>
        <w:tc>
          <w:tcPr>
            <w:tcW w:type="dxa" w:w="2400"/>
            <w:vAlign w:val="top"/>
          </w:tcPr>
          <w:p>
            <w:r/>
            <w:r>
              <w:rPr>
                <w:rFonts w:ascii="Arial" w:hAnsi="Arial"/>
                <w:b w:val="0"/>
                <w:sz w:val="16"/>
              </w:rPr>
              <w:t>Ethik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Die Texte werden nicht harmonisiert; moderne Werturteile werden von historischen Rekonstruktionen getrennt.</w:t>
            </w:r>
          </w:p>
        </w:tc>
      </w:tr>
      <w:tr>
        <w:tc>
          <w:tcPr>
            <w:tcW w:type="dxa" w:w="2400"/>
            <w:vAlign w:val="top"/>
          </w:tcPr>
          <w:p>
            <w:r/>
            <w:r>
              <w:rPr>
                <w:rFonts w:ascii="Arial" w:hAnsi="Arial"/>
                <w:b w:val="0"/>
                <w:sz w:val="16"/>
              </w:rPr>
              <w:t>Goetterkampf begrenzt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Mythische und polemische Machtkampfmotive werden nicht als realhistorischer Goetterkrieg behauptet.</w:t>
            </w:r>
          </w:p>
        </w:tc>
      </w:tr>
      <w:tr>
        <w:tc>
          <w:tcPr>
            <w:tcW w:type="dxa" w:w="2400"/>
            <w:vAlign w:val="top"/>
          </w:tcPr>
          <w:p>
            <w:r/>
            <w:r>
              <w:rPr>
                <w:rFonts w:ascii="Arial" w:hAnsi="Arial"/>
                <w:b w:val="0"/>
                <w:sz w:val="16"/>
              </w:rPr>
              <w:t>Exklusivitaet analysiert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Gewalt erscheint als Durchsetzung von Loyalitaet, Kultabgrenzung und theologischem Herrschaftsanspruch.</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neutralisiert.</w:t>
            </w:r>
          </w:p>
        </w:tc>
      </w:tr>
    </w:tbl>
    <w:p>
      <w:pPr>
        <w:pStyle w:val="Heading2"/>
      </w:pPr>
      <w:r>
        <w:t>12. Quellenbasis fuer Kapitel 8</w:t>
      </w:r>
    </w:p>
    <w:p>
      <w:pPr>
        <w:pStyle w:val="ListBullet"/>
      </w:pPr>
      <w:r>
        <w:rPr>
          <w:rFonts w:ascii="Arial" w:hAnsi="Arial"/>
        </w:rPr>
        <w:t>Reuven Firestone, Holy War in Judaism, Oxford University Press, 2012, Kapitel 'Holy War in the Bible', zu goettlich autorisiertem Krieg und deuteronomischer Systematisierung.</w:t>
      </w:r>
    </w:p>
    <w:p>
      <w:pPr>
        <w:pStyle w:val="ListBullet"/>
      </w:pPr>
      <w:r>
        <w:rPr>
          <w:rFonts w:ascii="Arial" w:hAnsi="Arial"/>
        </w:rPr>
        <w:t>Benjamin Luelik, 'Herem and the Concept of Holy War in Traditional Judaism', Edinost in Dialog 77/2, 2022, DOI 10.34291/edinost/77/02/lulik, zu herem, Entwicklung und rabbinischer Begrenzung.</w:t>
      </w:r>
    </w:p>
    <w:p>
      <w:pPr>
        <w:pStyle w:val="ListBullet"/>
      </w:pPr>
      <w:r>
        <w:rPr>
          <w:rFonts w:ascii="Arial" w:hAnsi="Arial"/>
        </w:rPr>
        <w:t>TheTorah.com, 'Deuteronomy's Herem Law: Protecting Israel at the Cost of its Humanity', zu herem, Idolatrierisiko, Deuteronomium und moralischer Spannung.</w:t>
      </w:r>
    </w:p>
    <w:p>
      <w:pPr>
        <w:pStyle w:val="ListBullet"/>
      </w:pPr>
      <w:r>
        <w:rPr>
          <w:rFonts w:ascii="Arial" w:hAnsi="Arial"/>
        </w:rPr>
        <w:t>P. J. J. Botha, 'Reflecting on (Non-)violence in the book of Deuteronomy', Old Testament Essays 27/2, 2014, zu Gewaltformen, YHWHs Rolle und herem in Deuteronomium.</w:t>
      </w:r>
    </w:p>
    <w:p>
      <w:pPr>
        <w:pStyle w:val="ListBullet"/>
      </w:pPr>
      <w:r>
        <w:rPr>
          <w:rFonts w:ascii="Arial" w:hAnsi="Arial"/>
        </w:rPr>
        <w:t>Baruch A. Levine, 'Is God Truly Everywhere? Sacred Space and the Role of Sacrifices', TheTorah.com, 2014, zu Opfer als Gabe, Naehe und altorientalischem Kultkontext.</w:t>
      </w:r>
    </w:p>
    <w:p>
      <w:pPr>
        <w:pStyle w:val="ListBullet"/>
      </w:pPr>
      <w:r>
        <w:rPr>
          <w:rFonts w:ascii="Arial" w:hAnsi="Arial"/>
        </w:rPr>
        <w:t>Michael L. Satlow, 'Slaughter Remained Sacred Despite Deuteronomy, Thus Shechitah', TheTorah.com, 2025, zu sakraler Schlachtung und der Entwicklung profanen Fleischverzehrs.</w:t>
      </w:r>
    </w:p>
    <w:p>
      <w:pPr>
        <w:pStyle w:val="ListBullet"/>
      </w:pPr>
      <w:r>
        <w:rPr>
          <w:rFonts w:ascii="Arial" w:hAnsi="Arial"/>
        </w:rPr>
        <w:t>Anne Katrine de Hemmer Gudme, 'If I were hungry, I would not tell you', Scandinavian Journal of the Old Testament 28/2, 2014, DOI 10.1080/09018328.2014.932559, zu Opfer als Speise fuer die Gottheit und Psalm-50-Kritik.</w:t>
      </w:r>
    </w:p>
    <w:p>
      <w:pPr>
        <w:pStyle w:val="ListBullet"/>
      </w:pPr>
      <w:r>
        <w:rPr>
          <w:rFonts w:ascii="Arial" w:hAnsi="Arial"/>
        </w:rPr>
        <w:t>Klaas A. D. Smelik, 'Moloch, Molekh or molk-sacrifice?', Scandinavian Journal of the Old Testament 9/1, 1995, DOI 10.1080/09018329508585062, zu Molekh, Menschenopfer und moeglicher Verschleierung frueherer JHWH-Opferpraxis.</w:t>
      </w:r>
    </w:p>
    <w:p>
      <w:pPr>
        <w:pStyle w:val="ListBullet"/>
      </w:pPr>
      <w:r>
        <w:rPr>
          <w:rFonts w:ascii="Arial" w:hAnsi="Arial"/>
        </w:rPr>
        <w:t>Jon D. Levenson, The Death and Resurrection of the Beloved Son, Yale University Press, 1993, zu Genesis 22, Erstgeburt und Transformation von Kinderopfertraditionen.</w:t>
      </w:r>
    </w:p>
    <w:p>
      <w:pPr>
        <w:pStyle w:val="ListBullet"/>
      </w:pPr>
      <w:r>
        <w:rPr>
          <w:rFonts w:ascii="Arial" w:hAnsi="Arial"/>
        </w:rPr>
        <w:t>Biblical Archaeology Society, 'Exodus in the Bible and the Egyptian Plagues', mit Ziony Zevits Deutungsmodellen der Plagen als Naturereignis, Goetterpolemik und Machtdemonstration.</w:t>
      </w:r>
    </w:p>
    <w:p>
      <w:pPr>
        <w:pStyle w:val="ListBullet"/>
      </w:pPr>
      <w:r>
        <w:rPr>
          <w:rFonts w:ascii="Arial" w:hAnsi="Arial"/>
        </w:rPr>
        <w:t>Ariel Seri-Levi, 'From Biblical Semantics to Theology: Divine and Human ka'as and qin'ah', Harvard Theological Review 117/4, 2024, DOI 10.1017/S0017816024000294, zu Eifersucht, Beleidigung und destruktiven Folgen in deuteronomistischer Theologie.</w:t>
      </w:r>
    </w:p>
    <w:p>
      <w:r>
        <w:br w:type="page"/>
      </w:r>
    </w:p>
    <w:p>
      <w:pPr>
        <w:pStyle w:val="Heading1"/>
      </w:pPr>
      <w:r>
        <w:t>Kapitel 9: Gesamtsynthese und wissenschaftliche Arbeitsfassung</w:t>
      </w:r>
    </w:p>
    <w:p>
      <w:r>
        <w:rPr>
          <w:rFonts w:ascii="Arial" w:hAnsi="Arial"/>
        </w:rPr>
        <w:t>Leitfrage: Was ergibt sich aus den bisherigen Antwortkapiteln als belastbares Gesamtmodell? Die Synthese lautet: Die Entstehung des biblischen Monotheismus ist am besten als mehrstufiger Transformationsprozess zu rekonstruieren. Ausgangspunkt ist kein isolierter Ein-Gott-Glaube, sondern ein westsemitisch-kanaanaeischer Religionsraum mit El, Aschera/Athirat, Baal/Hadad, lokalen Goettern, Ahnen- und Familienkulten. JHWH wird innerhalb dieser Welt zum Gott Israels, uebernimmt Titel und Funktionen Els, absorbiert Motive Baals und wird in spaeteren Texten zum einzigen universalen Gott. Die uebrigen goettlichen Wesen verschwinden nicht sofort, sondern werden untergeordnet, entwertet, angelisiert, daemonisiert oder als literarische Erinnerungen bewahrt. Nach Kapitel 8 gehoert zur Synthese ausserdem: Die Monotheisierung loest das Gewaltproblem nicht, sondern konzentriert Krieg, Opfer, Plagen und Gericht im Herrschaftsbereich des einen Gottes.</w:t>
      </w:r>
      <w:r>
        <w:footnoteReference w:id="72"/>
      </w:r>
    </w:p>
    <w:p>
      <w:pPr>
        <w:pStyle w:val="Heading2"/>
      </w:pPr>
      <w:r>
        <w:t>1. Das belastbare Hauptmodell</w:t>
      </w:r>
    </w:p>
    <w:p>
      <w:r>
        <w:rPr>
          <w:rFonts w:ascii="Arial" w:hAnsi="Arial"/>
        </w:rPr>
        <w:t>Die bisherige Ausarbeitung stuetzt ein Fuenf-Stufen-Modell. Dieses Modell ist nicht aus einem einzigen Text ableitbar, sondern aus der Zusammenschau von biblischen Textvarianten, ugaritischen Texten, Inschriften, Second-Temple-Literatur, Schriftrollen vom Toten Meer und religionsgeschichtlichen Vergleichsdaten.</w:t>
      </w:r>
      <w:r>
        <w:footnoteReference w:id="73"/>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Phase</w:t>
            </w:r>
          </w:p>
        </w:tc>
        <w:tc>
          <w:tcPr>
            <w:tcW w:type="dxa" w:w="2500"/>
            <w:vAlign w:val="top"/>
            <w:shd w:fill="F1F3F4"/>
          </w:tcPr>
          <w:p>
            <w:r/>
            <w:r>
              <w:rPr>
                <w:rFonts w:ascii="Arial" w:hAnsi="Arial"/>
                <w:b/>
                <w:sz w:val="16"/>
              </w:rPr>
              <w:t>Kernaussage</w:t>
            </w:r>
          </w:p>
        </w:tc>
        <w:tc>
          <w:tcPr>
            <w:tcW w:type="dxa" w:w="3200"/>
            <w:vAlign w:val="top"/>
            <w:shd w:fill="F1F3F4"/>
          </w:tcPr>
          <w:p>
            <w:r/>
            <w:r>
              <w:rPr>
                <w:rFonts w:ascii="Arial" w:hAnsi="Arial"/>
                <w:b/>
                <w:sz w:val="16"/>
              </w:rPr>
              <w:t>Quellenfelder</w:t>
            </w:r>
          </w:p>
        </w:tc>
        <w:tc>
          <w:tcPr>
            <w:tcW w:type="dxa" w:w="1500"/>
            <w:vAlign w:val="top"/>
            <w:shd w:fill="F1F3F4"/>
          </w:tcPr>
          <w:p>
            <w:r/>
            <w:r>
              <w:rPr>
                <w:rFonts w:ascii="Arial" w:hAnsi="Arial"/>
                <w:b/>
                <w:sz w:val="16"/>
              </w:rPr>
              <w:t>Beleggrad</w:t>
            </w:r>
          </w:p>
        </w:tc>
      </w:tr>
      <w:tr>
        <w:tc>
          <w:tcPr>
            <w:tcW w:type="dxa" w:w="1800"/>
            <w:vAlign w:val="top"/>
          </w:tcPr>
          <w:p>
            <w:r/>
            <w:r>
              <w:rPr>
                <w:rFonts w:ascii="Arial" w:hAnsi="Arial"/>
                <w:b w:val="0"/>
                <w:sz w:val="16"/>
              </w:rPr>
              <w:t>Vorstufe</w:t>
            </w:r>
          </w:p>
        </w:tc>
        <w:tc>
          <w:tcPr>
            <w:tcW w:type="dxa" w:w="2500"/>
            <w:vAlign w:val="top"/>
          </w:tcPr>
          <w:p>
            <w:r/>
            <w:r>
              <w:rPr>
                <w:rFonts w:ascii="Arial" w:hAnsi="Arial"/>
                <w:b w:val="0"/>
                <w:sz w:val="16"/>
              </w:rPr>
              <w:t>Israel entsteht im kanaanaeisch-suedlevantinischen Religionsraum.</w:t>
            </w:r>
          </w:p>
        </w:tc>
        <w:tc>
          <w:tcPr>
            <w:tcW w:type="dxa" w:w="3200"/>
            <w:vAlign w:val="top"/>
          </w:tcPr>
          <w:p>
            <w:r/>
            <w:r>
              <w:rPr>
                <w:rFonts w:ascii="Arial" w:hAnsi="Arial"/>
                <w:b w:val="0"/>
                <w:sz w:val="16"/>
              </w:rPr>
              <w:t>El, Aschera, Baal/Hadad, lokale Baale, Familien- und Ahnenkulte.</w:t>
            </w:r>
          </w:p>
        </w:tc>
        <w:tc>
          <w:tcPr>
            <w:tcW w:type="dxa" w:w="1500"/>
            <w:vAlign w:val="top"/>
          </w:tcPr>
          <w:p>
            <w:r/>
            <w:r>
              <w:rPr>
                <w:rFonts w:ascii="Arial" w:hAnsi="Arial"/>
                <w:b w:val="0"/>
                <w:sz w:val="16"/>
              </w:rPr>
              <w:t>Stark plausibel</w:t>
            </w:r>
          </w:p>
        </w:tc>
      </w:tr>
      <w:tr>
        <w:tc>
          <w:tcPr>
            <w:tcW w:type="dxa" w:w="1800"/>
            <w:vAlign w:val="top"/>
          </w:tcPr>
          <w:p>
            <w:r/>
            <w:r>
              <w:rPr>
                <w:rFonts w:ascii="Arial" w:hAnsi="Arial"/>
                <w:b w:val="0"/>
                <w:sz w:val="16"/>
              </w:rPr>
              <w:t>Stufe 1</w:t>
            </w:r>
          </w:p>
        </w:tc>
        <w:tc>
          <w:tcPr>
            <w:tcW w:type="dxa" w:w="2500"/>
            <w:vAlign w:val="top"/>
          </w:tcPr>
          <w:p>
            <w:r/>
            <w:r>
              <w:rPr>
                <w:rFonts w:ascii="Arial" w:hAnsi="Arial"/>
                <w:b w:val="0"/>
                <w:sz w:val="16"/>
              </w:rPr>
              <w:t>Westsemitischer goettlicher Rat mit El/Elyon als Hochgott.</w:t>
            </w:r>
          </w:p>
        </w:tc>
        <w:tc>
          <w:tcPr>
            <w:tcW w:type="dxa" w:w="3200"/>
            <w:vAlign w:val="top"/>
          </w:tcPr>
          <w:p>
            <w:r/>
            <w:r>
              <w:rPr>
                <w:rFonts w:ascii="Arial" w:hAnsi="Arial"/>
                <w:b w:val="0"/>
                <w:sz w:val="16"/>
              </w:rPr>
              <w:t>Ugarit, Psalm 82, Ratsvorstellungen, Soehne Els/Gottes.</w:t>
            </w:r>
          </w:p>
        </w:tc>
        <w:tc>
          <w:tcPr>
            <w:tcW w:type="dxa" w:w="1500"/>
            <w:vAlign w:val="top"/>
          </w:tcPr>
          <w:p>
            <w:r/>
            <w:r>
              <w:rPr>
                <w:rFonts w:ascii="Arial" w:hAnsi="Arial"/>
                <w:b w:val="0"/>
                <w:sz w:val="16"/>
              </w:rPr>
              <w:t>Gut belegt bis stark plausibel</w:t>
            </w:r>
          </w:p>
        </w:tc>
      </w:tr>
      <w:tr>
        <w:tc>
          <w:tcPr>
            <w:tcW w:type="dxa" w:w="1800"/>
            <w:vAlign w:val="top"/>
          </w:tcPr>
          <w:p>
            <w:r/>
            <w:r>
              <w:rPr>
                <w:rFonts w:ascii="Arial" w:hAnsi="Arial"/>
                <w:b w:val="0"/>
                <w:sz w:val="16"/>
              </w:rPr>
              <w:t>Stufe 2</w:t>
            </w:r>
          </w:p>
        </w:tc>
        <w:tc>
          <w:tcPr>
            <w:tcW w:type="dxa" w:w="2500"/>
            <w:vAlign w:val="top"/>
          </w:tcPr>
          <w:p>
            <w:r/>
            <w:r>
              <w:rPr>
                <w:rFonts w:ascii="Arial" w:hAnsi="Arial"/>
                <w:b w:val="0"/>
                <w:sz w:val="16"/>
              </w:rPr>
              <w:t>JHWH erscheint als Gott Israels innerhalb einer aelteren Voelker- und Goetterordnung.</w:t>
            </w:r>
          </w:p>
        </w:tc>
        <w:tc>
          <w:tcPr>
            <w:tcW w:type="dxa" w:w="3200"/>
            <w:vAlign w:val="top"/>
          </w:tcPr>
          <w:p>
            <w:r/>
            <w:r>
              <w:rPr>
                <w:rFonts w:ascii="Arial" w:hAnsi="Arial"/>
                <w:b w:val="0"/>
                <w:sz w:val="16"/>
              </w:rPr>
              <w:t>Dtn 32,8-9 in aelterer Textform; Israel als Anteil JHWHs.</w:t>
            </w:r>
          </w:p>
        </w:tc>
        <w:tc>
          <w:tcPr>
            <w:tcW w:type="dxa" w:w="1500"/>
            <w:vAlign w:val="top"/>
          </w:tcPr>
          <w:p>
            <w:r/>
            <w:r>
              <w:rPr>
                <w:rFonts w:ascii="Arial" w:hAnsi="Arial"/>
                <w:b w:val="0"/>
                <w:sz w:val="16"/>
              </w:rPr>
              <w:t>Plausibel, textkritisch stark</w:t>
            </w:r>
          </w:p>
        </w:tc>
      </w:tr>
      <w:tr>
        <w:tc>
          <w:tcPr>
            <w:tcW w:type="dxa" w:w="1800"/>
            <w:vAlign w:val="top"/>
          </w:tcPr>
          <w:p>
            <w:r/>
            <w:r>
              <w:rPr>
                <w:rFonts w:ascii="Arial" w:hAnsi="Arial"/>
                <w:b w:val="0"/>
                <w:sz w:val="16"/>
              </w:rPr>
              <w:t>Stufe 3</w:t>
            </w:r>
          </w:p>
        </w:tc>
        <w:tc>
          <w:tcPr>
            <w:tcW w:type="dxa" w:w="2500"/>
            <w:vAlign w:val="top"/>
          </w:tcPr>
          <w:p>
            <w:r/>
            <w:r>
              <w:rPr>
                <w:rFonts w:ascii="Arial" w:hAnsi="Arial"/>
                <w:b w:val="0"/>
                <w:sz w:val="16"/>
              </w:rPr>
              <w:t>JHWH wird mit El identifiziert und uebernimmt El-Titel sowie Baal/Hadad-Funktionen.</w:t>
            </w:r>
          </w:p>
        </w:tc>
        <w:tc>
          <w:tcPr>
            <w:tcW w:type="dxa" w:w="3200"/>
            <w:vAlign w:val="top"/>
          </w:tcPr>
          <w:p>
            <w:r/>
            <w:r>
              <w:rPr>
                <w:rFonts w:ascii="Arial" w:hAnsi="Arial"/>
                <w:b w:val="0"/>
                <w:sz w:val="16"/>
              </w:rPr>
              <w:t>El-Titel, Psalm 29, Wetter-/Kriegsmotive, Chaoskampf.</w:t>
            </w:r>
          </w:p>
        </w:tc>
        <w:tc>
          <w:tcPr>
            <w:tcW w:type="dxa" w:w="1500"/>
            <w:vAlign w:val="top"/>
          </w:tcPr>
          <w:p>
            <w:r/>
            <w:r>
              <w:rPr>
                <w:rFonts w:ascii="Arial" w:hAnsi="Arial"/>
                <w:b w:val="0"/>
                <w:sz w:val="16"/>
              </w:rPr>
              <w:t>Stark plausibel</w:t>
            </w:r>
          </w:p>
        </w:tc>
      </w:tr>
      <w:tr>
        <w:tc>
          <w:tcPr>
            <w:tcW w:type="dxa" w:w="1800"/>
            <w:vAlign w:val="top"/>
          </w:tcPr>
          <w:p>
            <w:r/>
            <w:r>
              <w:rPr>
                <w:rFonts w:ascii="Arial" w:hAnsi="Arial"/>
                <w:b w:val="0"/>
                <w:sz w:val="16"/>
              </w:rPr>
              <w:t>Stufe 4</w:t>
            </w:r>
          </w:p>
        </w:tc>
        <w:tc>
          <w:tcPr>
            <w:tcW w:type="dxa" w:w="2500"/>
            <w:vAlign w:val="top"/>
          </w:tcPr>
          <w:p>
            <w:r/>
            <w:r>
              <w:rPr>
                <w:rFonts w:ascii="Arial" w:hAnsi="Arial"/>
                <w:b w:val="0"/>
                <w:sz w:val="16"/>
              </w:rPr>
              <w:t>Exklusive JHWH-Verehrung und monotheistische Deutung.</w:t>
            </w:r>
          </w:p>
        </w:tc>
        <w:tc>
          <w:tcPr>
            <w:tcW w:type="dxa" w:w="3200"/>
            <w:vAlign w:val="top"/>
          </w:tcPr>
          <w:p>
            <w:r/>
            <w:r>
              <w:rPr>
                <w:rFonts w:ascii="Arial" w:hAnsi="Arial"/>
                <w:b w:val="0"/>
                <w:sz w:val="16"/>
              </w:rPr>
              <w:t>Propheten, Deuteronomismus, Exil/Nachexil, Second-Temple-Literatur.</w:t>
            </w:r>
          </w:p>
        </w:tc>
        <w:tc>
          <w:tcPr>
            <w:tcW w:type="dxa" w:w="1500"/>
            <w:vAlign w:val="top"/>
          </w:tcPr>
          <w:p>
            <w:r/>
            <w:r>
              <w:rPr>
                <w:rFonts w:ascii="Arial" w:hAnsi="Arial"/>
                <w:b w:val="0"/>
                <w:sz w:val="16"/>
              </w:rPr>
              <w:t>Gut belegt</w:t>
            </w:r>
          </w:p>
        </w:tc>
      </w:tr>
      <w:tr>
        <w:tc>
          <w:tcPr>
            <w:tcW w:type="dxa" w:w="1800"/>
            <w:vAlign w:val="top"/>
          </w:tcPr>
          <w:p>
            <w:r/>
            <w:r>
              <w:rPr>
                <w:rFonts w:ascii="Arial" w:hAnsi="Arial"/>
                <w:b w:val="0"/>
                <w:sz w:val="16"/>
              </w:rPr>
              <w:t>Nachstufe</w:t>
            </w:r>
          </w:p>
        </w:tc>
        <w:tc>
          <w:tcPr>
            <w:tcW w:type="dxa" w:w="2500"/>
            <w:vAlign w:val="top"/>
          </w:tcPr>
          <w:p>
            <w:r/>
            <w:r>
              <w:rPr>
                <w:rFonts w:ascii="Arial" w:hAnsi="Arial"/>
                <w:b w:val="0"/>
                <w:sz w:val="16"/>
              </w:rPr>
              <w:t>Alte himmlische Mehrzahl wird Engel-, Waechter-, Daemonen- und Fuerstenwelt.</w:t>
            </w:r>
          </w:p>
        </w:tc>
        <w:tc>
          <w:tcPr>
            <w:tcW w:type="dxa" w:w="3200"/>
            <w:vAlign w:val="top"/>
          </w:tcPr>
          <w:p>
            <w:r/>
            <w:r>
              <w:rPr>
                <w:rFonts w:ascii="Arial" w:hAnsi="Arial"/>
                <w:b w:val="0"/>
                <w:sz w:val="16"/>
              </w:rPr>
              <w:t>1 Henoch, Jubilaeen, DSS, Belial/Mastema/Michael.</w:t>
            </w:r>
          </w:p>
        </w:tc>
        <w:tc>
          <w:tcPr>
            <w:tcW w:type="dxa" w:w="1500"/>
            <w:vAlign w:val="top"/>
          </w:tcPr>
          <w:p>
            <w:r/>
            <w:r>
              <w:rPr>
                <w:rFonts w:ascii="Arial" w:hAnsi="Arial"/>
                <w:b w:val="0"/>
                <w:sz w:val="16"/>
              </w:rPr>
              <w:t>Gut belegt fuer spaetere Umdeutung</w:t>
            </w:r>
          </w:p>
        </w:tc>
      </w:tr>
    </w:tbl>
    <w:p>
      <w:pPr>
        <w:pStyle w:val="Heading2"/>
      </w:pPr>
      <w:r>
        <w:t>2. Zwischenfazit nach den Antwortkapiteln 2 bis 8</w:t>
      </w:r>
    </w:p>
    <w:p>
      <w:r>
        <w:rPr>
          <w:rFonts w:ascii="Arial" w:hAnsi="Arial"/>
        </w:rPr>
        <w:t>Die Antwortkapitel 2 bis 8 fuehren zu einer klareren Gesamtthese als die urspruengliche Ausgangsvermutung. Die fruehen Israeliten sind nicht als isolierte Sonderreligion zu behandeln, sondern als Teil eines kanaanaeisch-suedlevantinischen Religionsraums. In diesem Raum war El als Hochgott, Vater- und Ratsfigur der wichtigste religionsgeschichtliche Bezugspunkt. JHWH erscheint in den aelteren rekonstruierbaren Schichten am wahrscheinlichsten als Gott Israels innerhalb einer aelteren Voelker- und Goetterordnung; spaeter wird er mit El identifiziert und als Schoepfer, Koenig, Richter und Hoechster profiliert.</w:t>
      </w:r>
      <w:r>
        <w:footnoteReference w:id="74"/>
      </w:r>
    </w:p>
    <w:p>
      <w:r>
        <w:rPr>
          <w:rFonts w:ascii="Arial" w:hAnsi="Arial"/>
        </w:rPr>
        <w:t>Die wichtigsten Antworten lauten daher: Der Gottesrat ist kein spaeter Randgedanke, sondern eine fruehe Denkkategorie, die in Psalm 82, Dtn 32, 1 Koen 22, Hiob und den ugaritischen Vergleichstexten sichtbar wird. Aschera gehoert als Streitfall zur gelebten Volksreligion Israels/Judas, nicht bloss als fremde Verirrung von aussen. Baal/Hadad ist nicht einfach JHWH, aber JHWH uebernimmt zahlreiche Wetter-, Kriegs- und Chaoskampfmotive, waehrend Baal als Kultkonkurrent bekaempft wird. Die Anunnaki-Frage bleibt wichtig als Vergleich altorientalischer Goettergruppen, traegt aber keine direkte Identitaetsgleichung mit den Elohim.</w:t>
      </w:r>
      <w:r>
        <w:footnoteReference w:id="75"/>
      </w:r>
    </w:p>
    <w:p>
      <w:r>
        <w:rPr>
          <w:rFonts w:ascii="Arial" w:hAnsi="Arial"/>
        </w:rPr>
        <w:t>Auch die ethischen Kapitel verschieben die Bewertung: Die Gewalt-, Opfer-, Plagen- und Gerichtstexte sind nicht nur Nebenthemen, sondern pruefen den Anspruch des spaeteren Monotheismus selbst. Solange mehrere Goetter gedacht werden, koennen Gewalt, Chaos und Gericht unterschiedlichen Maechten zugeschrieben werden. Sobald JHWH als einziger universaler Gott gilt, werden auch Krieg, Herem, Plagen, Opferforderungen und Endgericht in seinem Herrschaftsbereich konzentriert. Genau daraus entsteht die zentrale Spannung zwischen biblischer Gottesverehrung, historischer Religionsentwicklung und moderner ethischer Bewertung.</w:t>
      </w:r>
    </w:p>
    <w:p>
      <w:pPr>
        <w:pStyle w:val="Heading2"/>
      </w:pPr>
      <w:r>
        <w:t>2.1 Was damit bereits beantwortet ist</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Frage</w:t>
            </w:r>
          </w:p>
        </w:tc>
        <w:tc>
          <w:tcPr>
            <w:tcW w:type="dxa" w:w="2500"/>
            <w:vAlign w:val="top"/>
            <w:shd w:fill="F1F3F4"/>
          </w:tcPr>
          <w:p>
            <w:r/>
            <w:r>
              <w:rPr>
                <w:rFonts w:ascii="Arial" w:hAnsi="Arial"/>
                <w:b/>
                <w:sz w:val="16"/>
              </w:rPr>
              <w:t>Kurzantwort</w:t>
            </w:r>
          </w:p>
        </w:tc>
        <w:tc>
          <w:tcPr>
            <w:tcW w:type="dxa" w:w="3200"/>
            <w:vAlign w:val="top"/>
            <w:shd w:fill="F1F3F4"/>
          </w:tcPr>
          <w:p>
            <w:r/>
            <w:r>
              <w:rPr>
                <w:rFonts w:ascii="Arial" w:hAnsi="Arial"/>
                <w:b/>
                <w:sz w:val="16"/>
              </w:rPr>
              <w:t>Grundlage</w:t>
            </w:r>
          </w:p>
        </w:tc>
        <w:tc>
          <w:tcPr>
            <w:tcW w:type="dxa" w:w="1500"/>
            <w:vAlign w:val="top"/>
            <w:shd w:fill="F1F3F4"/>
          </w:tcPr>
          <w:p>
            <w:r/>
            <w:r>
              <w:rPr>
                <w:rFonts w:ascii="Arial" w:hAnsi="Arial"/>
                <w:b/>
                <w:sz w:val="16"/>
              </w:rPr>
              <w:t>Beleggrad</w:t>
            </w:r>
          </w:p>
        </w:tc>
      </w:tr>
      <w:tr>
        <w:tc>
          <w:tcPr>
            <w:tcW w:type="dxa" w:w="1800"/>
            <w:vAlign w:val="top"/>
          </w:tcPr>
          <w:p>
            <w:r/>
            <w:r>
              <w:rPr>
                <w:rFonts w:ascii="Arial" w:hAnsi="Arial"/>
                <w:b w:val="0"/>
                <w:sz w:val="16"/>
              </w:rPr>
              <w:t>Entstand Israel religioes isoliert?</w:t>
            </w:r>
          </w:p>
        </w:tc>
        <w:tc>
          <w:tcPr>
            <w:tcW w:type="dxa" w:w="2500"/>
            <w:vAlign w:val="top"/>
          </w:tcPr>
          <w:p>
            <w:r/>
            <w:r>
              <w:rPr>
                <w:rFonts w:ascii="Arial" w:hAnsi="Arial"/>
                <w:b w:val="0"/>
                <w:sz w:val="16"/>
              </w:rPr>
              <w:t>Nein.</w:t>
            </w:r>
          </w:p>
        </w:tc>
        <w:tc>
          <w:tcPr>
            <w:tcW w:type="dxa" w:w="3200"/>
            <w:vAlign w:val="top"/>
          </w:tcPr>
          <w:p>
            <w:r/>
            <w:r>
              <w:rPr>
                <w:rFonts w:ascii="Arial" w:hAnsi="Arial"/>
                <w:b w:val="0"/>
                <w:sz w:val="16"/>
              </w:rPr>
              <w:t>Israel entsteht im kanaanaeisch-suedlevantinischen Umfeld; El, Baal/Hadad, Aschera und lokale Kulte bilden den nahen Hintergrund.</w:t>
            </w:r>
          </w:p>
        </w:tc>
        <w:tc>
          <w:tcPr>
            <w:tcW w:type="dxa" w:w="1500"/>
            <w:vAlign w:val="top"/>
          </w:tcPr>
          <w:p>
            <w:r/>
            <w:r>
              <w:rPr>
                <w:rFonts w:ascii="Arial" w:hAnsi="Arial"/>
                <w:b w:val="0"/>
                <w:sz w:val="16"/>
              </w:rPr>
              <w:t>Gut belegt/plausibel</w:t>
            </w:r>
          </w:p>
        </w:tc>
      </w:tr>
      <w:tr>
        <w:tc>
          <w:tcPr>
            <w:tcW w:type="dxa" w:w="1800"/>
            <w:vAlign w:val="top"/>
          </w:tcPr>
          <w:p>
            <w:r/>
            <w:r>
              <w:rPr>
                <w:rFonts w:ascii="Arial" w:hAnsi="Arial"/>
                <w:b w:val="0"/>
                <w:sz w:val="16"/>
              </w:rPr>
              <w:t>War El der wichtigste Bezugspunkt fuer JHWH?</w:t>
            </w:r>
          </w:p>
        </w:tc>
        <w:tc>
          <w:tcPr>
            <w:tcW w:type="dxa" w:w="2500"/>
            <w:vAlign w:val="top"/>
          </w:tcPr>
          <w:p>
            <w:r/>
            <w:r>
              <w:rPr>
                <w:rFonts w:ascii="Arial" w:hAnsi="Arial"/>
                <w:b w:val="0"/>
                <w:sz w:val="16"/>
              </w:rPr>
              <w:t>Ja, als Hochgott-, Vater-, Schoepfer-, Koenigs- und Ratsfigur.</w:t>
            </w:r>
          </w:p>
        </w:tc>
        <w:tc>
          <w:tcPr>
            <w:tcW w:type="dxa" w:w="3200"/>
            <w:vAlign w:val="top"/>
          </w:tcPr>
          <w:p>
            <w:r/>
            <w:r>
              <w:rPr>
                <w:rFonts w:ascii="Arial" w:hAnsi="Arial"/>
                <w:b w:val="0"/>
                <w:sz w:val="16"/>
              </w:rPr>
              <w:t>El-Titel, Ugarit, Patriarchentraditionen, El/Elyon.</w:t>
            </w:r>
          </w:p>
        </w:tc>
        <w:tc>
          <w:tcPr>
            <w:tcW w:type="dxa" w:w="1500"/>
            <w:vAlign w:val="top"/>
          </w:tcPr>
          <w:p>
            <w:r/>
            <w:r>
              <w:rPr>
                <w:rFonts w:ascii="Arial" w:hAnsi="Arial"/>
                <w:b w:val="0"/>
                <w:sz w:val="16"/>
              </w:rPr>
              <w:t>Stark plausibel</w:t>
            </w:r>
          </w:p>
        </w:tc>
      </w:tr>
      <w:tr>
        <w:tc>
          <w:tcPr>
            <w:tcW w:type="dxa" w:w="1800"/>
            <w:vAlign w:val="top"/>
          </w:tcPr>
          <w:p>
            <w:r/>
            <w:r>
              <w:rPr>
                <w:rFonts w:ascii="Arial" w:hAnsi="Arial"/>
                <w:b w:val="0"/>
                <w:sz w:val="16"/>
              </w:rPr>
              <w:t>War JHWH urspruenglich einer unter mehreren?</w:t>
            </w:r>
          </w:p>
        </w:tc>
        <w:tc>
          <w:tcPr>
            <w:tcW w:type="dxa" w:w="2500"/>
            <w:vAlign w:val="top"/>
          </w:tcPr>
          <w:p>
            <w:r/>
            <w:r>
              <w:rPr>
                <w:rFonts w:ascii="Arial" w:hAnsi="Arial"/>
                <w:b w:val="0"/>
                <w:sz w:val="16"/>
              </w:rPr>
              <w:t>Plausibel, aber nicht beweisbar als einfache Biographie einer Gottheit.</w:t>
            </w:r>
          </w:p>
        </w:tc>
        <w:tc>
          <w:tcPr>
            <w:tcW w:type="dxa" w:w="3200"/>
            <w:vAlign w:val="top"/>
          </w:tcPr>
          <w:p>
            <w:r/>
            <w:r>
              <w:rPr>
                <w:rFonts w:ascii="Arial" w:hAnsi="Arial"/>
                <w:b w:val="0"/>
                <w:sz w:val="16"/>
              </w:rPr>
              <w:t>Dtn 32,8-9 in aelterer Textform; Psalm 82; Voelkerordnung.</w:t>
            </w:r>
          </w:p>
        </w:tc>
        <w:tc>
          <w:tcPr>
            <w:tcW w:type="dxa" w:w="1500"/>
            <w:vAlign w:val="top"/>
          </w:tcPr>
          <w:p>
            <w:r/>
            <w:r>
              <w:rPr>
                <w:rFonts w:ascii="Arial" w:hAnsi="Arial"/>
                <w:b w:val="0"/>
                <w:sz w:val="16"/>
              </w:rPr>
              <w:t>Plausibel/strittig</w:t>
            </w:r>
          </w:p>
        </w:tc>
      </w:tr>
      <w:tr>
        <w:tc>
          <w:tcPr>
            <w:tcW w:type="dxa" w:w="1800"/>
            <w:vAlign w:val="top"/>
          </w:tcPr>
          <w:p>
            <w:r/>
            <w:r>
              <w:rPr>
                <w:rFonts w:ascii="Arial" w:hAnsi="Arial"/>
                <w:b w:val="0"/>
                <w:sz w:val="16"/>
              </w:rPr>
              <w:t>Sind JHWH, Baal, Marduk, Anunnaki und Elohim derselbe Gott?</w:t>
            </w:r>
          </w:p>
        </w:tc>
        <w:tc>
          <w:tcPr>
            <w:tcW w:type="dxa" w:w="2500"/>
            <w:vAlign w:val="top"/>
          </w:tcPr>
          <w:p>
            <w:r/>
            <w:r>
              <w:rPr>
                <w:rFonts w:ascii="Arial" w:hAnsi="Arial"/>
                <w:b w:val="0"/>
                <w:sz w:val="16"/>
              </w:rPr>
              <w:t>Nein, nicht als wissenschaftlich belegbare Identitaet.</w:t>
            </w:r>
          </w:p>
        </w:tc>
        <w:tc>
          <w:tcPr>
            <w:tcW w:type="dxa" w:w="3200"/>
            <w:vAlign w:val="top"/>
          </w:tcPr>
          <w:p>
            <w:r/>
            <w:r>
              <w:rPr>
                <w:rFonts w:ascii="Arial" w:hAnsi="Arial"/>
                <w:b w:val="0"/>
                <w:sz w:val="16"/>
              </w:rPr>
              <w:t>Unterschiedliche Sprachen, Funktionen, Korpora und historische Kontexte.</w:t>
            </w:r>
          </w:p>
        </w:tc>
        <w:tc>
          <w:tcPr>
            <w:tcW w:type="dxa" w:w="1500"/>
            <w:vAlign w:val="top"/>
          </w:tcPr>
          <w:p>
            <w:r/>
            <w:r>
              <w:rPr>
                <w:rFonts w:ascii="Arial" w:hAnsi="Arial"/>
                <w:b w:val="0"/>
                <w:sz w:val="16"/>
              </w:rPr>
              <w:t>Nicht belegt</w:t>
            </w:r>
          </w:p>
        </w:tc>
      </w:tr>
      <w:tr>
        <w:tc>
          <w:tcPr>
            <w:tcW w:type="dxa" w:w="1800"/>
            <w:vAlign w:val="top"/>
          </w:tcPr>
          <w:p>
            <w:r/>
            <w:r>
              <w:rPr>
                <w:rFonts w:ascii="Arial" w:hAnsi="Arial"/>
                <w:b w:val="0"/>
                <w:sz w:val="16"/>
              </w:rPr>
              <w:t>Gibt es starke Funktionsuebernahmen?</w:t>
            </w:r>
          </w:p>
        </w:tc>
        <w:tc>
          <w:tcPr>
            <w:tcW w:type="dxa" w:w="2500"/>
            <w:vAlign w:val="top"/>
          </w:tcPr>
          <w:p>
            <w:r/>
            <w:r>
              <w:rPr>
                <w:rFonts w:ascii="Arial" w:hAnsi="Arial"/>
                <w:b w:val="0"/>
                <w:sz w:val="16"/>
              </w:rPr>
              <w:t>Ja.</w:t>
            </w:r>
          </w:p>
        </w:tc>
        <w:tc>
          <w:tcPr>
            <w:tcW w:type="dxa" w:w="3200"/>
            <w:vAlign w:val="top"/>
          </w:tcPr>
          <w:p>
            <w:r/>
            <w:r>
              <w:rPr>
                <w:rFonts w:ascii="Arial" w:hAnsi="Arial"/>
                <w:b w:val="0"/>
                <w:sz w:val="16"/>
              </w:rPr>
              <w:t>JHWH uebernimmt El-Titel und Baal/Hadad-Wetter-, Kriegs- und Chaoskampfmotive.</w:t>
            </w:r>
          </w:p>
        </w:tc>
        <w:tc>
          <w:tcPr>
            <w:tcW w:type="dxa" w:w="1500"/>
            <w:vAlign w:val="top"/>
          </w:tcPr>
          <w:p>
            <w:r/>
            <w:r>
              <w:rPr>
                <w:rFonts w:ascii="Arial" w:hAnsi="Arial"/>
                <w:b w:val="0"/>
                <w:sz w:val="16"/>
              </w:rPr>
              <w:t>Stark plausibel</w:t>
            </w:r>
          </w:p>
        </w:tc>
      </w:tr>
      <w:tr>
        <w:tc>
          <w:tcPr>
            <w:tcW w:type="dxa" w:w="1800"/>
            <w:vAlign w:val="top"/>
          </w:tcPr>
          <w:p>
            <w:r/>
            <w:r>
              <w:rPr>
                <w:rFonts w:ascii="Arial" w:hAnsi="Arial"/>
                <w:b w:val="0"/>
                <w:sz w:val="16"/>
              </w:rPr>
              <w:t>Bleiben alte himmlische Wesen spaeter erhalten?</w:t>
            </w:r>
          </w:p>
        </w:tc>
        <w:tc>
          <w:tcPr>
            <w:tcW w:type="dxa" w:w="2500"/>
            <w:vAlign w:val="top"/>
          </w:tcPr>
          <w:p>
            <w:r/>
            <w:r>
              <w:rPr>
                <w:rFonts w:ascii="Arial" w:hAnsi="Arial"/>
                <w:b w:val="0"/>
                <w:sz w:val="16"/>
              </w:rPr>
              <w:t>Ja, aber umgedeutet.</w:t>
            </w:r>
          </w:p>
        </w:tc>
        <w:tc>
          <w:tcPr>
            <w:tcW w:type="dxa" w:w="3200"/>
            <w:vAlign w:val="top"/>
          </w:tcPr>
          <w:p>
            <w:r/>
            <w:r>
              <w:rPr>
                <w:rFonts w:ascii="Arial" w:hAnsi="Arial"/>
                <w:b w:val="0"/>
                <w:sz w:val="16"/>
              </w:rPr>
              <w:t>Engel, Waechter, Daemonen, Belial/Mastema/Michael in Second-Temple-Texten.</w:t>
            </w:r>
          </w:p>
        </w:tc>
        <w:tc>
          <w:tcPr>
            <w:tcW w:type="dxa" w:w="1500"/>
            <w:vAlign w:val="top"/>
          </w:tcPr>
          <w:p>
            <w:r/>
            <w:r>
              <w:rPr>
                <w:rFonts w:ascii="Arial" w:hAnsi="Arial"/>
                <w:b w:val="0"/>
                <w:sz w:val="16"/>
              </w:rPr>
              <w:t>Gut belegt fuer spaetere Phase</w:t>
            </w:r>
          </w:p>
        </w:tc>
      </w:tr>
      <w:tr>
        <w:tc>
          <w:tcPr>
            <w:tcW w:type="dxa" w:w="1800"/>
            <w:vAlign w:val="top"/>
          </w:tcPr>
          <w:p>
            <w:r/>
            <w:r>
              <w:rPr>
                <w:rFonts w:ascii="Arial" w:hAnsi="Arial"/>
                <w:b w:val="0"/>
                <w:sz w:val="16"/>
              </w:rPr>
              <w:t>Ist die Gewaltfrage zentral?</w:t>
            </w:r>
          </w:p>
        </w:tc>
        <w:tc>
          <w:tcPr>
            <w:tcW w:type="dxa" w:w="2500"/>
            <w:vAlign w:val="top"/>
          </w:tcPr>
          <w:p>
            <w:r/>
            <w:r>
              <w:rPr>
                <w:rFonts w:ascii="Arial" w:hAnsi="Arial"/>
                <w:b w:val="0"/>
                <w:sz w:val="16"/>
              </w:rPr>
              <w:t>Ja.</w:t>
            </w:r>
          </w:p>
        </w:tc>
        <w:tc>
          <w:tcPr>
            <w:tcW w:type="dxa" w:w="3200"/>
            <w:vAlign w:val="top"/>
          </w:tcPr>
          <w:p>
            <w:r/>
            <w:r>
              <w:rPr>
                <w:rFonts w:ascii="Arial" w:hAnsi="Arial"/>
                <w:b w:val="0"/>
                <w:sz w:val="16"/>
              </w:rPr>
              <w:t>Herem, Opfer, Plagen, Gericht und Eifersucht gehoeren zum Kernproblem des exklusiven JHWH-Anspruchs.</w:t>
            </w:r>
          </w:p>
        </w:tc>
        <w:tc>
          <w:tcPr>
            <w:tcW w:type="dxa" w:w="1500"/>
            <w:vAlign w:val="top"/>
          </w:tcPr>
          <w:p>
            <w:r/>
            <w:r>
              <w:rPr>
                <w:rFonts w:ascii="Arial" w:hAnsi="Arial"/>
                <w:b w:val="0"/>
                <w:sz w:val="16"/>
              </w:rPr>
              <w:t>Gut belegt</w:t>
            </w:r>
          </w:p>
        </w:tc>
      </w:tr>
    </w:tbl>
    <w:p>
      <w:pPr>
        <w:pStyle w:val="Heading2"/>
      </w:pPr>
      <w:r>
        <w:t>3. Praezisierte Hauptthese</w:t>
      </w:r>
    </w:p>
    <w:p>
      <w:r>
        <w:rPr>
          <w:rFonts w:ascii="Arial" w:hAnsi="Arial"/>
        </w:rPr>
        <w:t>Die urspruengliche These 'JHWH, El, Elohim, Baal, Marduk und weitere Gottheiten koennten derselbe Gott unter verschiedenen Namen sein' muss wissenschaftlich praezisiert werden. In harter Form ist sie nicht belegbar. Die Quellen zeigen nicht, dass alle diese Gottheiten identisch sind. Sie zeigen aber sehr deutlich, dass antike Religionen Namen, Titel, Funktionen, Rangordnungen und Motive verschieben konnten.</w:t>
      </w:r>
    </w:p>
    <w:p>
      <w:r>
        <w:rPr>
          <w:rFonts w:ascii="Arial" w:hAnsi="Arial"/>
        </w:rPr>
        <w:t>Die tragfaehige Arbeitsformel lautet daher: Nicht alle Goetter sind derselbe Gott, aber viele Goetterbilder werden durch Synkretismus, Konkurrenz, Funktionsuebernahme, Polemik und spaetere Umdeutung miteinander verschraenkt. JHWH wird in Israel/Juda so profiliert, dass er Els Hochgottrolle uebernimmt, Baal/Hadads Wetter- und Kriegsmotive absorbiert, Aschera aus der offiziellen Theologie verdraengt und die uebrigen himmlischen Wesen unterordnet oder entwertet.</w:t>
      </w:r>
      <w:r>
        <w:footnoteReference w:id="76"/>
      </w:r>
    </w:p>
    <w:p>
      <w:r>
        <w:br w:type="page"/>
      </w:r>
    </w:p>
    <w:p>
      <w:pPr>
        <w:pStyle w:val="Heading2"/>
      </w:pPr>
      <w:r>
        <w:t>4. Thesenmatrix nach Beleggrad</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These</w:t>
            </w:r>
          </w:p>
        </w:tc>
        <w:tc>
          <w:tcPr>
            <w:tcW w:type="dxa" w:w="2500"/>
            <w:vAlign w:val="top"/>
            <w:shd w:fill="F1F3F4"/>
          </w:tcPr>
          <w:p>
            <w:r/>
            <w:r>
              <w:rPr>
                <w:rFonts w:ascii="Arial" w:hAnsi="Arial"/>
                <w:b/>
                <w:sz w:val="16"/>
              </w:rPr>
              <w:t>Bewertung</w:t>
            </w:r>
          </w:p>
        </w:tc>
        <w:tc>
          <w:tcPr>
            <w:tcW w:type="dxa" w:w="3200"/>
            <w:vAlign w:val="top"/>
            <w:shd w:fill="F1F3F4"/>
          </w:tcPr>
          <w:p>
            <w:r/>
            <w:r>
              <w:rPr>
                <w:rFonts w:ascii="Arial" w:hAnsi="Arial"/>
                <w:b/>
                <w:sz w:val="16"/>
              </w:rPr>
              <w:t>Begruendung</w:t>
            </w:r>
          </w:p>
        </w:tc>
        <w:tc>
          <w:tcPr>
            <w:tcW w:type="dxa" w:w="1500"/>
            <w:vAlign w:val="top"/>
            <w:shd w:fill="F1F3F4"/>
          </w:tcPr>
          <w:p>
            <w:r/>
            <w:r>
              <w:rPr>
                <w:rFonts w:ascii="Arial" w:hAnsi="Arial"/>
                <w:b/>
                <w:sz w:val="16"/>
              </w:rPr>
              <w:t>Arbeitsregel</w:t>
            </w:r>
          </w:p>
        </w:tc>
      </w:tr>
      <w:tr>
        <w:tc>
          <w:tcPr>
            <w:tcW w:type="dxa" w:w="1800"/>
            <w:vAlign w:val="top"/>
          </w:tcPr>
          <w:p>
            <w:r/>
            <w:r>
              <w:rPr>
                <w:rFonts w:ascii="Arial" w:hAnsi="Arial"/>
                <w:b w:val="0"/>
                <w:sz w:val="16"/>
              </w:rPr>
              <w:t>Israel entsteht im kanaanaeischen Umfeld</w:t>
            </w:r>
          </w:p>
        </w:tc>
        <w:tc>
          <w:tcPr>
            <w:tcW w:type="dxa" w:w="2500"/>
            <w:vAlign w:val="top"/>
          </w:tcPr>
          <w:p>
            <w:r/>
            <w:r>
              <w:rPr>
                <w:rFonts w:ascii="Arial" w:hAnsi="Arial"/>
                <w:b w:val="0"/>
                <w:sz w:val="16"/>
              </w:rPr>
              <w:t>Belegt/plausibel</w:t>
            </w:r>
          </w:p>
        </w:tc>
        <w:tc>
          <w:tcPr>
            <w:tcW w:type="dxa" w:w="3200"/>
            <w:vAlign w:val="top"/>
          </w:tcPr>
          <w:p>
            <w:r/>
            <w:r>
              <w:rPr>
                <w:rFonts w:ascii="Arial" w:hAnsi="Arial"/>
                <w:b w:val="0"/>
                <w:sz w:val="16"/>
              </w:rPr>
              <w:t>Merenptah-Stele, Hochlandsiedlungen, archaeologische und sozialgeschichtliche Forschung.</w:t>
            </w:r>
          </w:p>
        </w:tc>
        <w:tc>
          <w:tcPr>
            <w:tcW w:type="dxa" w:w="1500"/>
            <w:vAlign w:val="top"/>
          </w:tcPr>
          <w:p>
            <w:r/>
            <w:r>
              <w:rPr>
                <w:rFonts w:ascii="Arial" w:hAnsi="Arial"/>
                <w:b w:val="0"/>
                <w:sz w:val="16"/>
              </w:rPr>
              <w:t>Grundlage fuer die gesamte Arbeit.</w:t>
            </w:r>
          </w:p>
        </w:tc>
      </w:tr>
      <w:tr>
        <w:tc>
          <w:tcPr>
            <w:tcW w:type="dxa" w:w="1800"/>
            <w:vAlign w:val="top"/>
          </w:tcPr>
          <w:p>
            <w:r/>
            <w:r>
              <w:rPr>
                <w:rFonts w:ascii="Arial" w:hAnsi="Arial"/>
                <w:b w:val="0"/>
                <w:sz w:val="16"/>
              </w:rPr>
              <w:t>El ist wichtigster religionsgeschichtlicher Bezugspunkt fuer JHWHs Hochgottrolle</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El-Titel, Ugarit, El/Elyon, Genesis- und Patriarchentraditionen.</w:t>
            </w:r>
          </w:p>
        </w:tc>
        <w:tc>
          <w:tcPr>
            <w:tcW w:type="dxa" w:w="1500"/>
            <w:vAlign w:val="top"/>
          </w:tcPr>
          <w:p>
            <w:r/>
            <w:r>
              <w:rPr>
                <w:rFonts w:ascii="Arial" w:hAnsi="Arial"/>
                <w:b w:val="0"/>
                <w:sz w:val="16"/>
              </w:rPr>
              <w:t>Nicht zwingend direkte Identitaet von Anfang an.</w:t>
            </w:r>
          </w:p>
        </w:tc>
      </w:tr>
      <w:tr>
        <w:tc>
          <w:tcPr>
            <w:tcW w:type="dxa" w:w="1800"/>
            <w:vAlign w:val="top"/>
          </w:tcPr>
          <w:p>
            <w:r/>
            <w:r>
              <w:rPr>
                <w:rFonts w:ascii="Arial" w:hAnsi="Arial"/>
                <w:b w:val="0"/>
                <w:sz w:val="16"/>
              </w:rPr>
              <w:t>JHWH war in aelterer Ordnung ein Gott Israels neben anderen Nationalgoettern</w:t>
            </w:r>
          </w:p>
        </w:tc>
        <w:tc>
          <w:tcPr>
            <w:tcW w:type="dxa" w:w="2500"/>
            <w:vAlign w:val="top"/>
          </w:tcPr>
          <w:p>
            <w:r/>
            <w:r>
              <w:rPr>
                <w:rFonts w:ascii="Arial" w:hAnsi="Arial"/>
                <w:b w:val="0"/>
                <w:sz w:val="16"/>
              </w:rPr>
              <w:t>Plausibel/strittig</w:t>
            </w:r>
          </w:p>
        </w:tc>
        <w:tc>
          <w:tcPr>
            <w:tcW w:type="dxa" w:w="3200"/>
            <w:vAlign w:val="top"/>
          </w:tcPr>
          <w:p>
            <w:r/>
            <w:r>
              <w:rPr>
                <w:rFonts w:ascii="Arial" w:hAnsi="Arial"/>
                <w:b w:val="0"/>
                <w:sz w:val="16"/>
              </w:rPr>
              <w:t>Dtn 32,8-9 aeltere Lesart; Voelkerverteilung.</w:t>
            </w:r>
          </w:p>
        </w:tc>
        <w:tc>
          <w:tcPr>
            <w:tcW w:type="dxa" w:w="1500"/>
            <w:vAlign w:val="top"/>
          </w:tcPr>
          <w:p>
            <w:r/>
            <w:r>
              <w:rPr>
                <w:rFonts w:ascii="Arial" w:hAnsi="Arial"/>
                <w:b w:val="0"/>
                <w:sz w:val="16"/>
              </w:rPr>
              <w:t>Textkritisch stark, religionsgeschichtlich diskutiert.</w:t>
            </w:r>
          </w:p>
        </w:tc>
      </w:tr>
      <w:tr>
        <w:tc>
          <w:tcPr>
            <w:tcW w:type="dxa" w:w="1800"/>
            <w:vAlign w:val="top"/>
          </w:tcPr>
          <w:p>
            <w:r/>
            <w:r>
              <w:rPr>
                <w:rFonts w:ascii="Arial" w:hAnsi="Arial"/>
                <w:b w:val="0"/>
                <w:sz w:val="16"/>
              </w:rPr>
              <w:t>JHWH uebernimmt Baal/Hadad-Funktionen</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Psalm 29, Wolkenfahrt, Donner, Regen, Chaoskampf, Baal-Polemik.</w:t>
            </w:r>
          </w:p>
        </w:tc>
        <w:tc>
          <w:tcPr>
            <w:tcW w:type="dxa" w:w="1500"/>
            <w:vAlign w:val="top"/>
          </w:tcPr>
          <w:p>
            <w:r/>
            <w:r>
              <w:rPr>
                <w:rFonts w:ascii="Arial" w:hAnsi="Arial"/>
                <w:b w:val="0"/>
                <w:sz w:val="16"/>
              </w:rPr>
              <w:t>Funktionsuebernahme, nicht einfache Identitaet.</w:t>
            </w:r>
          </w:p>
        </w:tc>
      </w:tr>
      <w:tr>
        <w:tc>
          <w:tcPr>
            <w:tcW w:type="dxa" w:w="1800"/>
            <w:vAlign w:val="top"/>
          </w:tcPr>
          <w:p>
            <w:r/>
            <w:r>
              <w:rPr>
                <w:rFonts w:ascii="Arial" w:hAnsi="Arial"/>
                <w:b w:val="0"/>
                <w:sz w:val="16"/>
              </w:rPr>
              <w:t>Aschera war in Teilen der Volksreligion mit JHWH verbunden</w:t>
            </w:r>
          </w:p>
        </w:tc>
        <w:tc>
          <w:tcPr>
            <w:tcW w:type="dxa" w:w="2500"/>
            <w:vAlign w:val="top"/>
          </w:tcPr>
          <w:p>
            <w:r/>
            <w:r>
              <w:rPr>
                <w:rFonts w:ascii="Arial" w:hAnsi="Arial"/>
                <w:b w:val="0"/>
                <w:sz w:val="16"/>
              </w:rPr>
              <w:t>Plausibel bis stark plausibel</w:t>
            </w:r>
          </w:p>
        </w:tc>
        <w:tc>
          <w:tcPr>
            <w:tcW w:type="dxa" w:w="3200"/>
            <w:vAlign w:val="top"/>
          </w:tcPr>
          <w:p>
            <w:r/>
            <w:r>
              <w:rPr>
                <w:rFonts w:ascii="Arial" w:hAnsi="Arial"/>
                <w:b w:val="0"/>
                <w:sz w:val="16"/>
              </w:rPr>
              <w:t>Kuntillet Ajrud, Khirbet el-Qom, Figurinen, biblische Polemik.</w:t>
            </w:r>
          </w:p>
        </w:tc>
        <w:tc>
          <w:tcPr>
            <w:tcW w:type="dxa" w:w="1500"/>
            <w:vAlign w:val="top"/>
          </w:tcPr>
          <w:p>
            <w:r/>
            <w:r>
              <w:rPr>
                <w:rFonts w:ascii="Arial" w:hAnsi="Arial"/>
                <w:b w:val="0"/>
                <w:sz w:val="16"/>
              </w:rPr>
              <w:t>Göttin, Kultsymbol und Hypostase getrennt bewerten.</w:t>
            </w:r>
          </w:p>
        </w:tc>
      </w:tr>
      <w:tr>
        <w:tc>
          <w:tcPr>
            <w:tcW w:type="dxa" w:w="1800"/>
            <w:vAlign w:val="top"/>
          </w:tcPr>
          <w:p>
            <w:r/>
            <w:r>
              <w:rPr>
                <w:rFonts w:ascii="Arial" w:hAnsi="Arial"/>
                <w:b w:val="0"/>
                <w:sz w:val="16"/>
              </w:rPr>
              <w:t>Elohim = Anunnaki</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Unterschiedliche Sprachen, Textwelten und Funktionen.</w:t>
            </w:r>
          </w:p>
        </w:tc>
        <w:tc>
          <w:tcPr>
            <w:tcW w:type="dxa" w:w="1500"/>
            <w:vAlign w:val="top"/>
          </w:tcPr>
          <w:p>
            <w:r/>
            <w:r>
              <w:rPr>
                <w:rFonts w:ascii="Arial" w:hAnsi="Arial"/>
                <w:b w:val="0"/>
                <w:sz w:val="16"/>
              </w:rPr>
              <w:t>Nur als Vergleichsfrage fuehren.</w:t>
            </w:r>
          </w:p>
        </w:tc>
      </w:tr>
      <w:tr>
        <w:tc>
          <w:tcPr>
            <w:tcW w:type="dxa" w:w="1800"/>
            <w:vAlign w:val="top"/>
          </w:tcPr>
          <w:p>
            <w:r/>
            <w:r>
              <w:rPr>
                <w:rFonts w:ascii="Arial" w:hAnsi="Arial"/>
                <w:b w:val="0"/>
                <w:sz w:val="16"/>
              </w:rPr>
              <w:t>Nephilim/Waechter sind direkte Anunnaki</w:t>
            </w:r>
          </w:p>
        </w:tc>
        <w:tc>
          <w:tcPr>
            <w:tcW w:type="dxa" w:w="2500"/>
            <w:vAlign w:val="top"/>
          </w:tcPr>
          <w:p>
            <w:r/>
            <w:r>
              <w:rPr>
                <w:rFonts w:ascii="Arial" w:hAnsi="Arial"/>
                <w:b w:val="0"/>
                <w:sz w:val="16"/>
              </w:rPr>
              <w:t>Nicht belegt</w:t>
            </w:r>
          </w:p>
        </w:tc>
        <w:tc>
          <w:tcPr>
            <w:tcW w:type="dxa" w:w="3200"/>
            <w:vAlign w:val="top"/>
          </w:tcPr>
          <w:p>
            <w:r/>
            <w:r>
              <w:rPr>
                <w:rFonts w:ascii="Arial" w:hAnsi="Arial"/>
                <w:b w:val="0"/>
                <w:sz w:val="16"/>
              </w:rPr>
              <w:t>Genesis 6, Numeri 13, 1 Henoch zeigen andere Traditionslinien.</w:t>
            </w:r>
          </w:p>
        </w:tc>
        <w:tc>
          <w:tcPr>
            <w:tcW w:type="dxa" w:w="1500"/>
            <w:vAlign w:val="top"/>
          </w:tcPr>
          <w:p>
            <w:r/>
            <w:r>
              <w:rPr>
                <w:rFonts w:ascii="Arial" w:hAnsi="Arial"/>
                <w:b w:val="0"/>
                <w:sz w:val="16"/>
              </w:rPr>
              <w:t>Motivvergleich ja, Identitaet nein.</w:t>
            </w:r>
          </w:p>
        </w:tc>
      </w:tr>
      <w:tr>
        <w:tc>
          <w:tcPr>
            <w:tcW w:type="dxa" w:w="1800"/>
            <w:vAlign w:val="top"/>
          </w:tcPr>
          <w:p>
            <w:r/>
            <w:r>
              <w:rPr>
                <w:rFonts w:ascii="Arial" w:hAnsi="Arial"/>
                <w:b w:val="0"/>
                <w:sz w:val="16"/>
              </w:rPr>
              <w:t>Alte himmlische Wesen werden zu Engeln/Daemonen umgedeutet</w:t>
            </w:r>
          </w:p>
        </w:tc>
        <w:tc>
          <w:tcPr>
            <w:tcW w:type="dxa" w:w="2500"/>
            <w:vAlign w:val="top"/>
          </w:tcPr>
          <w:p>
            <w:r/>
            <w:r>
              <w:rPr>
                <w:rFonts w:ascii="Arial" w:hAnsi="Arial"/>
                <w:b w:val="0"/>
                <w:sz w:val="16"/>
              </w:rPr>
              <w:t>Gut belegt fuer Second Temple</w:t>
            </w:r>
          </w:p>
        </w:tc>
        <w:tc>
          <w:tcPr>
            <w:tcW w:type="dxa" w:w="3200"/>
            <w:vAlign w:val="top"/>
          </w:tcPr>
          <w:p>
            <w:r/>
            <w:r>
              <w:rPr>
                <w:rFonts w:ascii="Arial" w:hAnsi="Arial"/>
                <w:b w:val="0"/>
                <w:sz w:val="16"/>
              </w:rPr>
              <w:t>1 Henoch, Jubilaeen, DSS, Belial/Mastema/Michael.</w:t>
            </w:r>
          </w:p>
        </w:tc>
        <w:tc>
          <w:tcPr>
            <w:tcW w:type="dxa" w:w="1500"/>
            <w:vAlign w:val="top"/>
          </w:tcPr>
          <w:p>
            <w:r/>
            <w:r>
              <w:rPr>
                <w:rFonts w:ascii="Arial" w:hAnsi="Arial"/>
                <w:b w:val="0"/>
                <w:sz w:val="16"/>
              </w:rPr>
              <w:t>Keine pauschale Eins-zu-eins-Liste.</w:t>
            </w:r>
          </w:p>
        </w:tc>
      </w:tr>
      <w:tr>
        <w:tc>
          <w:tcPr>
            <w:tcW w:type="dxa" w:w="1800"/>
            <w:vAlign w:val="top"/>
          </w:tcPr>
          <w:p>
            <w:r/>
            <w:r>
              <w:rPr>
                <w:rFonts w:ascii="Arial" w:hAnsi="Arial"/>
                <w:b w:val="0"/>
                <w:sz w:val="16"/>
              </w:rPr>
              <w:t>JHWHs Gewalttexte sind zentrales Problem des Monotheismus</w:t>
            </w:r>
          </w:p>
        </w:tc>
        <w:tc>
          <w:tcPr>
            <w:tcW w:type="dxa" w:w="2500"/>
            <w:vAlign w:val="top"/>
          </w:tcPr>
          <w:p>
            <w:r/>
            <w:r>
              <w:rPr>
                <w:rFonts w:ascii="Arial" w:hAnsi="Arial"/>
                <w:b w:val="0"/>
                <w:sz w:val="16"/>
              </w:rPr>
              <w:t>Gut belegt</w:t>
            </w:r>
          </w:p>
        </w:tc>
        <w:tc>
          <w:tcPr>
            <w:tcW w:type="dxa" w:w="3200"/>
            <w:vAlign w:val="top"/>
          </w:tcPr>
          <w:p>
            <w:r/>
            <w:r>
              <w:rPr>
                <w:rFonts w:ascii="Arial" w:hAnsi="Arial"/>
                <w:b w:val="0"/>
                <w:sz w:val="16"/>
              </w:rPr>
              <w:t>Herem, Plagen, Opfer, Gericht, Eifersucht, Krieger-JHWH.</w:t>
            </w:r>
          </w:p>
        </w:tc>
        <w:tc>
          <w:tcPr>
            <w:tcW w:type="dxa" w:w="1500"/>
            <w:vAlign w:val="top"/>
          </w:tcPr>
          <w:p>
            <w:r/>
            <w:r>
              <w:rPr>
                <w:rFonts w:ascii="Arial" w:hAnsi="Arial"/>
                <w:b w:val="0"/>
                <w:sz w:val="16"/>
              </w:rPr>
              <w:t>Theologisch und ethisch offenhalten, nicht harmonisieren.</w:t>
            </w:r>
          </w:p>
        </w:tc>
      </w:tr>
    </w:tbl>
    <w:p>
      <w:pPr>
        <w:pStyle w:val="Heading2"/>
      </w:pPr>
      <w:r>
        <w:t>4.1 Endstand der Kernthese</w:t>
      </w:r>
    </w:p>
    <w:p>
      <w:r>
        <w:rPr>
          <w:rFonts w:ascii="Arial" w:hAnsi="Arial"/>
        </w:rPr>
        <w:t>Die bisherige Forschungslinie beantwortet die Ausgangsthese nicht mit einem einfachen Ja oder Nein, sondern mit einer methodisch belastbaren Umbauformel: JHWH ist nicht nachweisbar einfach derselbe Gott wie Baal, Marduk, Anunnaki oder alle Elohim. JHWH wird aber in Israel/Juda durch Namen, Titel, Funktionen, Kultpolemik und Textauslegung so aufgeladen, dass er Rollen absorbiert, die in anderen Systemen verschiedenen Gottheiten gehoerten. Genau diese Absorption ist der wissenschaftlich starke Kern der Vermutung.</w:t>
      </w:r>
      <w:r>
        <w:footnoteReference w:id="77"/>
      </w:r>
    </w:p>
    <w:p>
      <w:r>
        <w:rPr>
          <w:rFonts w:ascii="Arial" w:hAnsi="Arial"/>
        </w:rPr>
        <w:t>Darum sollte die Endfassung nicht versuchen, eine Totalidentitaet aller Gottheiten zu beweisen. Sie sollte zeigen, wie antike Religionen Identitaet herstellen: durch Titeluebertragung, Gleichsetzung, Ueberbietung, Kampfmythos, Kultzentralisation, Polemik und spaetere Umdeutung. Fuer JHWH laesst sich dieser Prozess besonders gut verfolgen, weil biblische Texte, Textvarianten, Ugarit, Inschriften, Second-Temple-Literatur und spaetere Rezeption zusammen ein langes Entwicklungsfeld bieten.</w:t>
      </w:r>
    </w:p>
    <w:p>
      <w:pPr>
        <w:pStyle w:val="Heading2"/>
      </w:pPr>
      <w:r>
        <w:t>5. Was wissenschaftlich tragfaehig ist</w:t>
      </w:r>
    </w:p>
    <w:p>
      <w:pPr>
        <w:pStyle w:val="ListBullet"/>
      </w:pPr>
      <w:r>
        <w:rPr>
          <w:rFonts w:ascii="Arial" w:hAnsi="Arial"/>
        </w:rPr>
        <w:t>Tragfaehig ist ein religionsgeschichtliches Entwicklungsmodell von westsemitischem Polytheismus ueber JHWH-Monolatrie/Henotheismus zu explizitem Monotheismus.</w:t>
      </w:r>
    </w:p>
    <w:p>
      <w:pPr>
        <w:pStyle w:val="ListBullet"/>
      </w:pPr>
      <w:r>
        <w:rPr>
          <w:rFonts w:ascii="Arial" w:hAnsi="Arial"/>
        </w:rPr>
        <w:t>Tragfaehig ist die These, dass JHWH und El in der israelitischen Tradition verschmolzen oder identifiziert wurden.</w:t>
      </w:r>
    </w:p>
    <w:p>
      <w:pPr>
        <w:pStyle w:val="ListBullet"/>
      </w:pPr>
      <w:r>
        <w:rPr>
          <w:rFonts w:ascii="Arial" w:hAnsi="Arial"/>
        </w:rPr>
        <w:t>Tragfaehig ist die These, dass JHWH Baal/Hadad-Motive uebernimmt, ohne deshalb einfach Baal zu sein.</w:t>
      </w:r>
    </w:p>
    <w:p>
      <w:pPr>
        <w:pStyle w:val="ListBullet"/>
      </w:pPr>
      <w:r>
        <w:rPr>
          <w:rFonts w:ascii="Arial" w:hAnsi="Arial"/>
        </w:rPr>
        <w:t>Tragfaehig ist die Annahme, dass Volksreligion und normative Bibeltheologie auseinanderfallen, besonders bei Aschera.</w:t>
      </w:r>
    </w:p>
    <w:p>
      <w:pPr>
        <w:pStyle w:val="ListBullet"/>
      </w:pPr>
      <w:r>
        <w:rPr>
          <w:rFonts w:ascii="Arial" w:hAnsi="Arial"/>
        </w:rPr>
        <w:t>Tragfaehig ist die Analyse, dass Second-Temple-Texte himmlische Mehrzahl in Engel-, Waechter-, Daemonen- und Fuerstenkategorien ueberfuehren.</w:t>
      </w:r>
    </w:p>
    <w:p>
      <w:pPr>
        <w:pStyle w:val="ListBullet"/>
      </w:pPr>
      <w:r>
        <w:rPr>
          <w:rFonts w:ascii="Arial" w:hAnsi="Arial"/>
        </w:rPr>
        <w:t>Tragfaehig ist eine kritische Ethik der Gewalttexte: JHWHs exklusiver Anspruch wird in vielen Texten mit Drohung, Gericht, Opfer und Krieg verbunden.</w:t>
      </w:r>
    </w:p>
    <w:p>
      <w:pPr>
        <w:pStyle w:val="Heading2"/>
      </w:pPr>
      <w:r>
        <w:t>6. Was nicht als Ergebnis behauptet werden darf</w:t>
      </w:r>
    </w:p>
    <w:p>
      <w:pPr>
        <w:pStyle w:val="ListBullet"/>
      </w:pPr>
      <w:r>
        <w:rPr>
          <w:rFonts w:ascii="Arial" w:hAnsi="Arial"/>
        </w:rPr>
        <w:t>Nicht belegbar ist, dass JHWH, Baal, Marduk, El und Allah historisch ein und dieselbe antike Gottheit mit bloss wechselnden Namen sind.</w:t>
      </w:r>
    </w:p>
    <w:p>
      <w:pPr>
        <w:pStyle w:val="ListBullet"/>
      </w:pPr>
      <w:r>
        <w:rPr>
          <w:rFonts w:ascii="Arial" w:hAnsi="Arial"/>
        </w:rPr>
        <w:t>Nicht belegbar ist, dass Anunnaki und Elohim sprachlich oder historisch identisch sind.</w:t>
      </w:r>
    </w:p>
    <w:p>
      <w:pPr>
        <w:pStyle w:val="ListBullet"/>
      </w:pPr>
      <w:r>
        <w:rPr>
          <w:rFonts w:ascii="Arial" w:hAnsi="Arial"/>
        </w:rPr>
        <w:t>Nicht belegbar ist ein realhistorischer 'Clash of the Gods' im Sinn eines nachweisbaren Kampfes realer Gottwesen.</w:t>
      </w:r>
    </w:p>
    <w:p>
      <w:pPr>
        <w:pStyle w:val="ListBullet"/>
      </w:pPr>
      <w:r>
        <w:rPr>
          <w:rFonts w:ascii="Arial" w:hAnsi="Arial"/>
        </w:rPr>
        <w:t>Nicht belegbar ist, dass Aschera historisch die Mutter Jesu waere; diese Schlussfolgerung verbindet unterschiedliche Traditionssysteme ohne Textbruecke.</w:t>
      </w:r>
    </w:p>
    <w:p>
      <w:pPr>
        <w:pStyle w:val="ListBullet"/>
      </w:pPr>
      <w:r>
        <w:rPr>
          <w:rFonts w:ascii="Arial" w:hAnsi="Arial"/>
        </w:rPr>
        <w:t>Nicht belegbar ist, dass die Bibel einen hoeheren El zeigt, der spaeter JHWHs Gewalt kontrolliert oder verurteilt.</w:t>
      </w:r>
    </w:p>
    <w:p>
      <w:pPr>
        <w:pStyle w:val="ListBullet"/>
      </w:pPr>
      <w:r>
        <w:rPr>
          <w:rFonts w:ascii="Arial" w:hAnsi="Arial"/>
        </w:rPr>
        <w:t>Nicht sauber ist es, Second-Temple-Engel und Waechter unkritisch in die fruehisraelitische Phase zurueckzuprojizieren.</w:t>
      </w:r>
    </w:p>
    <w:p>
      <w:pPr>
        <w:pStyle w:val="Heading2"/>
      </w:pPr>
      <w:r>
        <w:t>7. Wissenschaftlicher Ertrag der Arbeit</w:t>
      </w:r>
    </w:p>
    <w:p>
      <w:r>
        <w:rPr>
          <w:rFonts w:ascii="Arial" w:hAnsi="Arial"/>
        </w:rPr>
        <w:t>Der wissenschaftliche Wert dieser Ausarbeitung liegt nicht darin, eine sensationelle Gleichung aller Goetter zu beweisen. Er liegt darin, die Entwicklungslinien konsequent zusammenzufuehren: Textkritik, Ugarit, Archaeologie, Inschriften, biblische Polemik, Second-Temple-Literatur und ethische Kritik. Gerade die Verbindung dieser Felder macht das Thema komplex genug fuer eine serioese wissenschaftliche Arbeit.</w:t>
      </w:r>
      <w:r>
        <w:footnoteReference w:id="78"/>
      </w:r>
    </w:p>
    <w:p>
      <w:r>
        <w:rPr>
          <w:rFonts w:ascii="Arial" w:hAnsi="Arial"/>
        </w:rPr>
        <w:t>Die Arbeit kann als wissenschaftlich ernsthafte Studie angelegt werden, wenn sie ihre Thesen in Beleggrade trennt, Primaerquellen von spaeterer Deutung unterscheidet und moderne Spekulationen nicht als Befund ausgibt. Die staerkste Leitfrage lautet daher nicht: 'Sind alle Goetter derselbe Gott?', sondern: 'Wie werden in der Religionsgeschichte Israels Namen, Funktionen, Ratsvorstellungen und Gewaltansprueche so transformiert, dass aus einem pluralen goettlichen Umfeld ein exklusiver Monotheismus entsteht?'</w:t>
      </w:r>
    </w:p>
    <w:p>
      <w:pPr>
        <w:pStyle w:val="Heading2"/>
      </w:pPr>
      <w:r>
        <w:t>8. Offene Forschungsfragen fuer die Endredaktion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Feld</w:t>
            </w:r>
          </w:p>
        </w:tc>
        <w:tc>
          <w:tcPr>
            <w:tcW w:type="dxa" w:w="3300"/>
            <w:vAlign w:val="top"/>
            <w:shd w:fill="F1F3F4"/>
          </w:tcPr>
          <w:p>
            <w:r/>
            <w:r>
              <w:rPr>
                <w:rFonts w:ascii="Arial" w:hAnsi="Arial"/>
                <w:b/>
                <w:sz w:val="16"/>
              </w:rPr>
              <w:t>Naechste Praezisierung</w:t>
            </w:r>
          </w:p>
        </w:tc>
        <w:tc>
          <w:tcPr>
            <w:tcW w:type="dxa" w:w="3300"/>
            <w:vAlign w:val="top"/>
            <w:shd w:fill="F1F3F4"/>
          </w:tcPr>
          <w:p>
            <w:r/>
            <w:r>
              <w:rPr>
                <w:rFonts w:ascii="Arial" w:hAnsi="Arial"/>
                <w:b/>
                <w:sz w:val="16"/>
              </w:rPr>
              <w:t>Prioritaet</w:t>
            </w:r>
          </w:p>
        </w:tc>
      </w:tr>
      <w:tr>
        <w:tc>
          <w:tcPr>
            <w:tcW w:type="dxa" w:w="2400"/>
            <w:vAlign w:val="top"/>
          </w:tcPr>
          <w:p>
            <w:r/>
            <w:r>
              <w:rPr>
                <w:rFonts w:ascii="Arial" w:hAnsi="Arial"/>
                <w:b w:val="0"/>
                <w:sz w:val="16"/>
              </w:rPr>
              <w:t>Textkritik</w:t>
            </w:r>
          </w:p>
        </w:tc>
        <w:tc>
          <w:tcPr>
            <w:tcW w:type="dxa" w:w="3300"/>
            <w:vAlign w:val="top"/>
          </w:tcPr>
          <w:p>
            <w:r/>
            <w:r>
              <w:rPr>
                <w:rFonts w:ascii="Arial" w:hAnsi="Arial"/>
                <w:b w:val="0"/>
                <w:sz w:val="16"/>
              </w:rPr>
              <w:t>Dtn 32,8-9, Psalm 82, Gen 6 und relevante Qumran/Septuaginta-Varianten noch genauer mit Originalsprachen darstellen.</w:t>
            </w:r>
          </w:p>
        </w:tc>
        <w:tc>
          <w:tcPr>
            <w:tcW w:type="dxa" w:w="3300"/>
            <w:vAlign w:val="top"/>
          </w:tcPr>
          <w:p>
            <w:r/>
            <w:r>
              <w:rPr>
                <w:rFonts w:ascii="Arial" w:hAnsi="Arial"/>
                <w:b w:val="0"/>
                <w:sz w:val="16"/>
              </w:rPr>
              <w:t>Hoch</w:t>
            </w:r>
          </w:p>
        </w:tc>
      </w:tr>
      <w:tr>
        <w:tc>
          <w:tcPr>
            <w:tcW w:type="dxa" w:w="2400"/>
            <w:vAlign w:val="top"/>
          </w:tcPr>
          <w:p>
            <w:r/>
            <w:r>
              <w:rPr>
                <w:rFonts w:ascii="Arial" w:hAnsi="Arial"/>
                <w:b w:val="0"/>
                <w:sz w:val="16"/>
              </w:rPr>
              <w:t>Aschera</w:t>
            </w:r>
          </w:p>
        </w:tc>
        <w:tc>
          <w:tcPr>
            <w:tcW w:type="dxa" w:w="3300"/>
            <w:vAlign w:val="top"/>
          </w:tcPr>
          <w:p>
            <w:r/>
            <w:r>
              <w:rPr>
                <w:rFonts w:ascii="Arial" w:hAnsi="Arial"/>
                <w:b w:val="0"/>
                <w:sz w:val="16"/>
              </w:rPr>
              <w:t>Göttin, Kultsymbol, Hypostase und Volksreligion nochmals mit Pro-/Contra-Matrix und Inschriftenabbildungen absichern.</w:t>
            </w:r>
          </w:p>
        </w:tc>
        <w:tc>
          <w:tcPr>
            <w:tcW w:type="dxa" w:w="3300"/>
            <w:vAlign w:val="top"/>
          </w:tcPr>
          <w:p>
            <w:r/>
            <w:r>
              <w:rPr>
                <w:rFonts w:ascii="Arial" w:hAnsi="Arial"/>
                <w:b w:val="0"/>
                <w:sz w:val="16"/>
              </w:rPr>
              <w:t>Hoch</w:t>
            </w:r>
          </w:p>
        </w:tc>
      </w:tr>
      <w:tr>
        <w:tc>
          <w:tcPr>
            <w:tcW w:type="dxa" w:w="2400"/>
            <w:vAlign w:val="top"/>
          </w:tcPr>
          <w:p>
            <w:r/>
            <w:r>
              <w:rPr>
                <w:rFonts w:ascii="Arial" w:hAnsi="Arial"/>
                <w:b w:val="0"/>
                <w:sz w:val="16"/>
              </w:rPr>
              <w:t>Baal/Hadad</w:t>
            </w:r>
          </w:p>
        </w:tc>
        <w:tc>
          <w:tcPr>
            <w:tcW w:type="dxa" w:w="3300"/>
            <w:vAlign w:val="top"/>
          </w:tcPr>
          <w:p>
            <w:r/>
            <w:r>
              <w:rPr>
                <w:rFonts w:ascii="Arial" w:hAnsi="Arial"/>
                <w:b w:val="0"/>
                <w:sz w:val="16"/>
              </w:rPr>
              <w:t>Psalm 29, Chaoskampf und Wolkenfahrer-Motiv mit Ugarit-Zitaten enger belegen.</w:t>
            </w:r>
          </w:p>
        </w:tc>
        <w:tc>
          <w:tcPr>
            <w:tcW w:type="dxa" w:w="3300"/>
            <w:vAlign w:val="top"/>
          </w:tcPr>
          <w:p>
            <w:r/>
            <w:r>
              <w:rPr>
                <w:rFonts w:ascii="Arial" w:hAnsi="Arial"/>
                <w:b w:val="0"/>
                <w:sz w:val="16"/>
              </w:rPr>
              <w:t>Mittel</w:t>
            </w:r>
          </w:p>
        </w:tc>
      </w:tr>
      <w:tr>
        <w:tc>
          <w:tcPr>
            <w:tcW w:type="dxa" w:w="2400"/>
            <w:vAlign w:val="top"/>
          </w:tcPr>
          <w:p>
            <w:r/>
            <w:r>
              <w:rPr>
                <w:rFonts w:ascii="Arial" w:hAnsi="Arial"/>
                <w:b w:val="0"/>
                <w:sz w:val="16"/>
              </w:rPr>
              <w:t>Anunnaki</w:t>
            </w:r>
          </w:p>
        </w:tc>
        <w:tc>
          <w:tcPr>
            <w:tcW w:type="dxa" w:w="3300"/>
            <w:vAlign w:val="top"/>
          </w:tcPr>
          <w:p>
            <w:r/>
            <w:r>
              <w:rPr>
                <w:rFonts w:ascii="Arial" w:hAnsi="Arial"/>
                <w:b w:val="0"/>
                <w:sz w:val="16"/>
              </w:rPr>
              <w:t>Anunna/Anunnaki nur im Vergleichsteil halten; moderne Prae-Astronautik konsequent separat halten.</w:t>
            </w:r>
          </w:p>
        </w:tc>
        <w:tc>
          <w:tcPr>
            <w:tcW w:type="dxa" w:w="3300"/>
            <w:vAlign w:val="top"/>
          </w:tcPr>
          <w:p>
            <w:r/>
            <w:r>
              <w:rPr>
                <w:rFonts w:ascii="Arial" w:hAnsi="Arial"/>
                <w:b w:val="0"/>
                <w:sz w:val="16"/>
              </w:rPr>
              <w:t>Hoch</w:t>
            </w:r>
          </w:p>
        </w:tc>
      </w:tr>
      <w:tr>
        <w:tc>
          <w:tcPr>
            <w:tcW w:type="dxa" w:w="2400"/>
            <w:vAlign w:val="top"/>
          </w:tcPr>
          <w:p>
            <w:r/>
            <w:r>
              <w:rPr>
                <w:rFonts w:ascii="Arial" w:hAnsi="Arial"/>
                <w:b w:val="0"/>
                <w:sz w:val="16"/>
              </w:rPr>
              <w:t>Gewalt</w:t>
            </w:r>
          </w:p>
        </w:tc>
        <w:tc>
          <w:tcPr>
            <w:tcW w:type="dxa" w:w="3300"/>
            <w:vAlign w:val="top"/>
          </w:tcPr>
          <w:p>
            <w:r/>
            <w:r>
              <w:rPr>
                <w:rFonts w:ascii="Arial" w:hAnsi="Arial"/>
                <w:b w:val="0"/>
                <w:sz w:val="16"/>
              </w:rPr>
              <w:t>Herem, Opfer, Kinderopfer, Plagen und Gericht als eigenes ethisches Schlussdossier ausbauen.</w:t>
            </w:r>
          </w:p>
        </w:tc>
        <w:tc>
          <w:tcPr>
            <w:tcW w:type="dxa" w:w="3300"/>
            <w:vAlign w:val="top"/>
          </w:tcPr>
          <w:p>
            <w:r/>
            <w:r>
              <w:rPr>
                <w:rFonts w:ascii="Arial" w:hAnsi="Arial"/>
                <w:b w:val="0"/>
                <w:sz w:val="16"/>
              </w:rPr>
              <w:t>Hoch</w:t>
            </w:r>
          </w:p>
        </w:tc>
      </w:tr>
      <w:tr>
        <w:tc>
          <w:tcPr>
            <w:tcW w:type="dxa" w:w="2400"/>
            <w:vAlign w:val="top"/>
          </w:tcPr>
          <w:p>
            <w:r/>
            <w:r>
              <w:rPr>
                <w:rFonts w:ascii="Arial" w:hAnsi="Arial"/>
                <w:b w:val="0"/>
                <w:sz w:val="16"/>
              </w:rPr>
              <w:t>Judentum/Christentum/Islam</w:t>
            </w:r>
          </w:p>
        </w:tc>
        <w:tc>
          <w:tcPr>
            <w:tcW w:type="dxa" w:w="3300"/>
            <w:vAlign w:val="top"/>
          </w:tcPr>
          <w:p>
            <w:r/>
            <w:r>
              <w:rPr>
                <w:rFonts w:ascii="Arial" w:hAnsi="Arial"/>
                <w:b w:val="0"/>
                <w:sz w:val="16"/>
              </w:rPr>
              <w:t>Spaetere Identifikation des Gottes Abrahams, Jesus-Christologie und Allah/JHWH-Frage separat ausarbeiten.</w:t>
            </w:r>
          </w:p>
        </w:tc>
        <w:tc>
          <w:tcPr>
            <w:tcW w:type="dxa" w:w="3300"/>
            <w:vAlign w:val="top"/>
          </w:tcPr>
          <w:p>
            <w:r/>
            <w:r>
              <w:rPr>
                <w:rFonts w:ascii="Arial" w:hAnsi="Arial"/>
                <w:b w:val="0"/>
                <w:sz w:val="16"/>
              </w:rPr>
              <w:t>Mittel</w:t>
            </w:r>
          </w:p>
        </w:tc>
      </w:tr>
      <w:tr>
        <w:tc>
          <w:tcPr>
            <w:tcW w:type="dxa" w:w="2400"/>
            <w:vAlign w:val="top"/>
          </w:tcPr>
          <w:p>
            <w:r/>
            <w:r>
              <w:rPr>
                <w:rFonts w:ascii="Arial" w:hAnsi="Arial"/>
                <w:b w:val="0"/>
                <w:sz w:val="16"/>
              </w:rPr>
              <w:t>Form</w:t>
            </w:r>
          </w:p>
        </w:tc>
        <w:tc>
          <w:tcPr>
            <w:tcW w:type="dxa" w:w="3300"/>
            <w:vAlign w:val="top"/>
          </w:tcPr>
          <w:p>
            <w:r/>
            <w:r>
              <w:rPr>
                <w:rFonts w:ascii="Arial" w:hAnsi="Arial"/>
                <w:b w:val="0"/>
                <w:sz w:val="16"/>
              </w:rPr>
              <w:t>Literaturverzeichnis, Fussnoten, Abkuerzungsverzeichnis und Zitierstil vereinheitlichen.</w:t>
            </w:r>
          </w:p>
        </w:tc>
        <w:tc>
          <w:tcPr>
            <w:tcW w:type="dxa" w:w="3300"/>
            <w:vAlign w:val="top"/>
          </w:tcPr>
          <w:p>
            <w:r/>
            <w:r>
              <w:rPr>
                <w:rFonts w:ascii="Arial" w:hAnsi="Arial"/>
                <w:b w:val="0"/>
                <w:sz w:val="16"/>
              </w:rPr>
              <w:t>Hoch</w:t>
            </w:r>
          </w:p>
        </w:tc>
      </w:tr>
    </w:tbl>
    <w:p>
      <w:pPr>
        <w:pStyle w:val="Heading2"/>
      </w:pPr>
      <w:r>
        <w:t>9. Ergebnis und Kapitelstatus</w:t>
      </w:r>
    </w:p>
    <w:p>
      <w:r>
        <w:rPr>
          <w:rFonts w:ascii="Arial" w:hAnsi="Arial"/>
        </w:rPr>
        <w:t>Kapitel 9 liegt als druckreife Synthese V1 vor. Die bisherige Arbeit hat eine klare argumentative Grundlage: Der biblische Monotheismus entsteht aus einem aelteren pluralen Religionsraum; JHWH wird mit El identifiziert, uebernimmt Baal/Hadad-Funktionen, verdraengt oder entwertet Aschera und andere Kultmaechte, und die spaetere Literatur ordnet uebrige himmlische Wesen als Engel, Waechter, Daemonen oder Fuersten ein. Die harte Identitaetsthese aller Gottheiten wird verworfen; die differenzierte Transformations- und Funktionsuebernahme-These wird als Hauptmodell weitergefuehrt. Gewalt, Opfer, Plagen und Gericht sind dabei kein Nebenthema, sondern pruefen die Monotheisierung selbst, weil sie im einen Gott konzentriert werden.</w:t>
      </w:r>
    </w:p>
    <w:p>
      <w:pPr>
        <w:pStyle w:val="Heading2"/>
      </w:pPr>
      <w:r>
        <w:t>10. Druckreifepruefung Kapitel 9</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Synthese geschlossen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Kapitel 1-8 werden zu einem Transformationsmodell zusammengefuehrt.</w:t>
            </w:r>
          </w:p>
        </w:tc>
      </w:tr>
      <w:tr>
        <w:tc>
          <w:tcPr>
            <w:tcW w:type="dxa" w:w="2400"/>
            <w:vAlign w:val="top"/>
          </w:tcPr>
          <w:p>
            <w:r/>
            <w:r>
              <w:rPr>
                <w:rFonts w:ascii="Arial" w:hAnsi="Arial"/>
                <w:b w:val="0"/>
                <w:sz w:val="16"/>
              </w:rPr>
              <w:t>Hauptthese entschieden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Die harte Universalidentitaet wird verworfen; Funktionsuebernahme, Identifikation und Umdeutung bleiben Hauptmodell.</w:t>
            </w:r>
          </w:p>
        </w:tc>
      </w:tr>
      <w:tr>
        <w:tc>
          <w:tcPr>
            <w:tcW w:type="dxa" w:w="2400"/>
            <w:vAlign w:val="top"/>
          </w:tcPr>
          <w:p>
            <w:r/>
            <w:r>
              <w:rPr>
                <w:rFonts w:ascii="Arial" w:hAnsi="Arial"/>
                <w:b w:val="0"/>
                <w:sz w:val="16"/>
              </w:rPr>
              <w:t>Beleggrade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Belegt, stark plausibel, strittig und nicht belegt werden in der Thesenmatrix unterschieden.</w:t>
            </w:r>
          </w:p>
        </w:tc>
      </w:tr>
      <w:tr>
        <w:tc>
          <w:tcPr>
            <w:tcW w:type="dxa" w:w="2400"/>
            <w:vAlign w:val="top"/>
          </w:tcPr>
          <w:p>
            <w:r/>
            <w:r>
              <w:rPr>
                <w:rFonts w:ascii="Arial" w:hAnsi="Arial"/>
                <w:b w:val="0"/>
                <w:sz w:val="16"/>
              </w:rPr>
              <w:t>Gewalt integriert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Gewalt, Opfer, Plagen und Gericht sind als Prueffeld des Monotheismus eingebunden.</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Arbeitsinterne Formulierungen wurden neutralisiert.</w:t>
            </w:r>
          </w:p>
        </w:tc>
      </w:tr>
    </w:tbl>
    <w:p>
      <w:r>
        <w:br w:type="page"/>
      </w:r>
    </w:p>
    <w:p>
      <w:pPr>
        <w:pStyle w:val="Heading1"/>
      </w:pPr>
      <w:r>
        <w:t>Kapitel 10: Formale Endredaktion und Quellenapparat</w:t>
      </w:r>
    </w:p>
    <w:p>
      <w:r>
        <w:rPr>
          <w:rFonts w:ascii="Arial" w:hAnsi="Arial"/>
        </w:rPr>
        <w:t>Leitfrage: Wie muss die bisherige Arbeitsfassung formal geordnet werden, damit sie als serioese wissenschaftliche Lesefassung vorliegen kann? Die Antwort lautet: Die inhaltliche Hauptlinie ist als Druckfassung V1 geschlossen. Zitate, Beleggrade, Quellenarten, Literaturangaben und Forschungsgrenzen werden einheitlich kontrolliert und in diesem Kapitel als Redaktionsrahmen dokumentiert.</w:t>
      </w:r>
    </w:p>
    <w:p>
      <w:pPr>
        <w:pStyle w:val="Heading2"/>
      </w:pPr>
      <w:r>
        <w:t>1. Status der Arbeit nach Kapitel 1 bis 9</w:t>
      </w:r>
    </w:p>
    <w:p>
      <w:r>
        <w:rPr>
          <w:rFonts w:ascii="Arial" w:hAnsi="Arial"/>
        </w:rPr>
        <w:t>Die Arbeit liegt nun als validierte wissenschaftliche Lesefassung V1 vor. Ihr staerkster Stand ist die sachliche Hauptargumentation: Die Entwicklung JHWHs vom Gott Israels innerhalb eines aelteren pluralen Religionsraums zum einzigen universalen Gott ist als Transformationsmodell gut begruendbar. Der Quellenapparat ist fuer diese Fassung vereinheitlicht und als Quellenebenenapparat kontrolliert.</w:t>
      </w:r>
      <w:r>
        <w:footnoteReference w:id="79"/>
      </w:r>
    </w:p>
    <w:p>
      <w:pPr>
        <w:pStyle w:val="ListBullet"/>
      </w:pPr>
      <w:r>
        <w:rPr>
          <w:rFonts w:ascii="Arial" w:hAnsi="Arial"/>
        </w:rPr>
        <w:t>Fertig V1: Antwortkapitel 1-8 mit jeweiligen Ergebnissen, Beleggraden und Quellenbasis.</w:t>
      </w:r>
    </w:p>
    <w:p>
      <w:pPr>
        <w:pStyle w:val="ListBullet"/>
      </w:pPr>
      <w:r>
        <w:rPr>
          <w:rFonts w:ascii="Arial" w:hAnsi="Arial"/>
        </w:rPr>
        <w:t>Fertig V1: Synthese Kapitel 9 mit Hauptmodell, Thesenmatrix und Grenzen der Identitaetsthese.</w:t>
      </w:r>
    </w:p>
    <w:p>
      <w:pPr>
        <w:pStyle w:val="ListBullet"/>
      </w:pPr>
      <w:r>
        <w:rPr>
          <w:rFonts w:ascii="Arial" w:hAnsi="Arial"/>
        </w:rPr>
        <w:t>Umgesetzt V1: echte Word-Fussnoten liegen fuer Kapitel 1 bis 14 und Anlage N vor; ausgewaehlte Anlagenstellen sind im Anlagenverzeichnis und Quellenapparat eingeordnet.</w:t>
      </w:r>
    </w:p>
    <w:p>
      <w:pPr>
        <w:pStyle w:val="ListBullet"/>
      </w:pPr>
      <w:r>
        <w:rPr>
          <w:rFonts w:ascii="Arial" w:hAnsi="Arial"/>
        </w:rPr>
        <w:t>Umgesetzt V1: ein thematisch gegliedertes Literaturverzeichnis und normalisierte Bibliographie-Bloecke liegen vor.</w:t>
      </w:r>
    </w:p>
    <w:p>
      <w:pPr>
        <w:pStyle w:val="ListBullet"/>
      </w:pPr>
      <w:r>
        <w:rPr>
          <w:rFonts w:ascii="Arial" w:hAnsi="Arial"/>
        </w:rPr>
        <w:t>Umgesetzt V1: Dopplungen zwischen Hauptteil, Syntheseteilen, altem Material und Anlagen sind reduziert; Arbeitsbefunde bleiben im Anlagen-/Archivbereich nachvollziehbar.</w:t>
      </w:r>
    </w:p>
    <w:p>
      <w:pPr>
        <w:pStyle w:val="ListBullet"/>
      </w:pPr>
      <w:r>
        <w:rPr>
          <w:rFonts w:ascii="Arial" w:hAnsi="Arial"/>
        </w:rPr>
        <w:t>Umgesetzt V1: Schlusskapitel und Thesenmatrix trennen belegtes Ergebnis, plausible Rekonstruktion, verworfene Spekulation und ethisches Werturteil.</w:t>
      </w:r>
    </w:p>
    <w:p>
      <w:pPr>
        <w:pStyle w:val="Heading2"/>
      </w:pPr>
      <w:r>
        <w:t>2. Vorgeschlagener Zitierstandard</w:t>
      </w:r>
    </w:p>
    <w:p>
      <w:r>
        <w:rPr>
          <w:rFonts w:ascii="Arial" w:hAnsi="Arial"/>
        </w:rPr>
        <w:t>Fuer die Endfassung empfiehlt sich ein geisteswissenschaftlicher Fussnotenstil nach Chicago Notes/Bibliography oder ein daran angelehnter deutscher Stil. Der Vorteil: Primaertexte, antike Texteditionen, Monographien, Aufsaetze, Online-Lexika und Webseiten lassen sich sauber unterscheiden. APA waere fuer Religionsgeschichte und Bibelwissenschaft weniger passend, weil dort die genaue Textstelle oft wichtiger ist als nur Autor-Jahr.</w:t>
      </w:r>
      <w:r>
        <w:footnoteReference w:id="80"/>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Quellenart</w:t>
            </w:r>
          </w:p>
        </w:tc>
        <w:tc>
          <w:tcPr>
            <w:tcW w:type="dxa" w:w="2500"/>
            <w:vAlign w:val="top"/>
            <w:shd w:fill="F1F3F4"/>
          </w:tcPr>
          <w:p>
            <w:r/>
            <w:r>
              <w:rPr>
                <w:rFonts w:ascii="Arial" w:hAnsi="Arial"/>
                <w:b/>
                <w:sz w:val="16"/>
              </w:rPr>
              <w:t>Zitierform</w:t>
            </w:r>
          </w:p>
        </w:tc>
        <w:tc>
          <w:tcPr>
            <w:tcW w:type="dxa" w:w="3200"/>
            <w:vAlign w:val="top"/>
            <w:shd w:fill="F1F3F4"/>
          </w:tcPr>
          <w:p>
            <w:r/>
            <w:r>
              <w:rPr>
                <w:rFonts w:ascii="Arial" w:hAnsi="Arial"/>
                <w:b/>
                <w:sz w:val="16"/>
              </w:rPr>
              <w:t>Beispiel</w:t>
            </w:r>
          </w:p>
        </w:tc>
        <w:tc>
          <w:tcPr>
            <w:tcW w:type="dxa" w:w="1500"/>
            <w:vAlign w:val="top"/>
            <w:shd w:fill="F1F3F4"/>
          </w:tcPr>
          <w:p>
            <w:r/>
            <w:r>
              <w:rPr>
                <w:rFonts w:ascii="Arial" w:hAnsi="Arial"/>
                <w:b/>
                <w:sz w:val="16"/>
              </w:rPr>
              <w:t>Redaktionsregel</w:t>
            </w:r>
          </w:p>
        </w:tc>
      </w:tr>
      <w:tr>
        <w:tc>
          <w:tcPr>
            <w:tcW w:type="dxa" w:w="1800"/>
            <w:vAlign w:val="top"/>
          </w:tcPr>
          <w:p>
            <w:r/>
            <w:r>
              <w:rPr>
                <w:rFonts w:ascii="Arial" w:hAnsi="Arial"/>
                <w:b w:val="0"/>
                <w:sz w:val="16"/>
              </w:rPr>
              <w:t>Primaertext Bibel</w:t>
            </w:r>
          </w:p>
        </w:tc>
        <w:tc>
          <w:tcPr>
            <w:tcW w:type="dxa" w:w="2500"/>
            <w:vAlign w:val="top"/>
          </w:tcPr>
          <w:p>
            <w:r/>
            <w:r>
              <w:rPr>
                <w:rFonts w:ascii="Arial" w:hAnsi="Arial"/>
                <w:b w:val="0"/>
                <w:sz w:val="16"/>
              </w:rPr>
              <w:t>Buch Kapitel,Vers; Textfassung angeben</w:t>
            </w:r>
          </w:p>
        </w:tc>
        <w:tc>
          <w:tcPr>
            <w:tcW w:type="dxa" w:w="3200"/>
            <w:vAlign w:val="top"/>
          </w:tcPr>
          <w:p>
            <w:r/>
            <w:r>
              <w:rPr>
                <w:rFonts w:ascii="Arial" w:hAnsi="Arial"/>
                <w:b w:val="0"/>
                <w:sz w:val="16"/>
              </w:rPr>
              <w:t>Dtn 32,8-9 MT; 4QDeutj; LXX; Ps 82,1-8</w:t>
            </w:r>
          </w:p>
        </w:tc>
        <w:tc>
          <w:tcPr>
            <w:tcW w:type="dxa" w:w="1500"/>
            <w:vAlign w:val="top"/>
          </w:tcPr>
          <w:p>
            <w:r/>
            <w:r>
              <w:rPr>
                <w:rFonts w:ascii="Arial" w:hAnsi="Arial"/>
                <w:b w:val="0"/>
                <w:sz w:val="16"/>
              </w:rPr>
              <w:t>Hebraeische/alte Textform markieren.</w:t>
            </w:r>
          </w:p>
        </w:tc>
      </w:tr>
      <w:tr>
        <w:tc>
          <w:tcPr>
            <w:tcW w:type="dxa" w:w="1800"/>
            <w:vAlign w:val="top"/>
          </w:tcPr>
          <w:p>
            <w:r/>
            <w:r>
              <w:rPr>
                <w:rFonts w:ascii="Arial" w:hAnsi="Arial"/>
                <w:b w:val="0"/>
                <w:sz w:val="16"/>
              </w:rPr>
              <w:t>Antiker ausserbiblischer Text</w:t>
            </w:r>
          </w:p>
        </w:tc>
        <w:tc>
          <w:tcPr>
            <w:tcW w:type="dxa" w:w="2500"/>
            <w:vAlign w:val="top"/>
          </w:tcPr>
          <w:p>
            <w:r/>
            <w:r>
              <w:rPr>
                <w:rFonts w:ascii="Arial" w:hAnsi="Arial"/>
                <w:b w:val="0"/>
                <w:sz w:val="16"/>
              </w:rPr>
              <w:t>Textkorpus, Textnummer, Abschnitt/Zeile, Edition/Uebersetzung</w:t>
            </w:r>
          </w:p>
        </w:tc>
        <w:tc>
          <w:tcPr>
            <w:tcW w:type="dxa" w:w="3200"/>
            <w:vAlign w:val="top"/>
          </w:tcPr>
          <w:p>
            <w:r/>
            <w:r>
              <w:rPr>
                <w:rFonts w:ascii="Arial" w:hAnsi="Arial"/>
                <w:b w:val="0"/>
                <w:sz w:val="16"/>
              </w:rPr>
              <w:t>KTU 1.4 VI; 1 Henoch 6-16; Jubilaeen 10</w:t>
            </w:r>
          </w:p>
        </w:tc>
        <w:tc>
          <w:tcPr>
            <w:tcW w:type="dxa" w:w="1500"/>
            <w:vAlign w:val="top"/>
          </w:tcPr>
          <w:p>
            <w:r/>
            <w:r>
              <w:rPr>
                <w:rFonts w:ascii="Arial" w:hAnsi="Arial"/>
                <w:b w:val="0"/>
                <w:sz w:val="16"/>
              </w:rPr>
              <w:t>Primaerquelle vor Sekundaerdeutung.</w:t>
            </w:r>
          </w:p>
        </w:tc>
      </w:tr>
      <w:tr>
        <w:tc>
          <w:tcPr>
            <w:tcW w:type="dxa" w:w="1800"/>
            <w:vAlign w:val="top"/>
          </w:tcPr>
          <w:p>
            <w:r/>
            <w:r>
              <w:rPr>
                <w:rFonts w:ascii="Arial" w:hAnsi="Arial"/>
                <w:b w:val="0"/>
                <w:sz w:val="16"/>
              </w:rPr>
              <w:t>Monographie</w:t>
            </w:r>
          </w:p>
        </w:tc>
        <w:tc>
          <w:tcPr>
            <w:tcW w:type="dxa" w:w="2500"/>
            <w:vAlign w:val="top"/>
          </w:tcPr>
          <w:p>
            <w:r/>
            <w:r>
              <w:rPr>
                <w:rFonts w:ascii="Arial" w:hAnsi="Arial"/>
                <w:b w:val="0"/>
                <w:sz w:val="16"/>
              </w:rPr>
              <w:t>Autor, Titel, Ort/Verlag/Jahr, Seite</w:t>
            </w:r>
          </w:p>
        </w:tc>
        <w:tc>
          <w:tcPr>
            <w:tcW w:type="dxa" w:w="3200"/>
            <w:vAlign w:val="top"/>
          </w:tcPr>
          <w:p>
            <w:r/>
            <w:r>
              <w:rPr>
                <w:rFonts w:ascii="Arial" w:hAnsi="Arial"/>
                <w:b w:val="0"/>
                <w:sz w:val="16"/>
              </w:rPr>
              <w:t>Mark S. Smith, The Origins of Biblical Monotheism, 2001</w:t>
            </w:r>
          </w:p>
        </w:tc>
        <w:tc>
          <w:tcPr>
            <w:tcW w:type="dxa" w:w="1500"/>
            <w:vAlign w:val="top"/>
          </w:tcPr>
          <w:p>
            <w:r/>
            <w:r>
              <w:rPr>
                <w:rFonts w:ascii="Arial" w:hAnsi="Arial"/>
                <w:b w:val="0"/>
                <w:sz w:val="16"/>
              </w:rPr>
              <w:t>Bei zentralen Argumenten Seitenzahl nachtragen.</w:t>
            </w:r>
          </w:p>
        </w:tc>
      </w:tr>
      <w:tr>
        <w:tc>
          <w:tcPr>
            <w:tcW w:type="dxa" w:w="1800"/>
            <w:vAlign w:val="top"/>
          </w:tcPr>
          <w:p>
            <w:r/>
            <w:r>
              <w:rPr>
                <w:rFonts w:ascii="Arial" w:hAnsi="Arial"/>
                <w:b w:val="0"/>
                <w:sz w:val="16"/>
              </w:rPr>
              <w:t>Zeitschriftenaufsatz</w:t>
            </w:r>
          </w:p>
        </w:tc>
        <w:tc>
          <w:tcPr>
            <w:tcW w:type="dxa" w:w="2500"/>
            <w:vAlign w:val="top"/>
          </w:tcPr>
          <w:p>
            <w:r/>
            <w:r>
              <w:rPr>
                <w:rFonts w:ascii="Arial" w:hAnsi="Arial"/>
                <w:b w:val="0"/>
                <w:sz w:val="16"/>
              </w:rPr>
              <w:t>Autor, Titel, Zeitschrift Band/Jahr, Seiten, DOI</w:t>
            </w:r>
          </w:p>
        </w:tc>
        <w:tc>
          <w:tcPr>
            <w:tcW w:type="dxa" w:w="3200"/>
            <w:vAlign w:val="top"/>
          </w:tcPr>
          <w:p>
            <w:r/>
            <w:r>
              <w:rPr>
                <w:rFonts w:ascii="Arial" w:hAnsi="Arial"/>
                <w:b w:val="0"/>
                <w:sz w:val="16"/>
              </w:rPr>
              <w:t>Stahl 2021; Seri-Levi 2024</w:t>
            </w:r>
          </w:p>
        </w:tc>
        <w:tc>
          <w:tcPr>
            <w:tcW w:type="dxa" w:w="1500"/>
            <w:vAlign w:val="top"/>
          </w:tcPr>
          <w:p>
            <w:r/>
            <w:r>
              <w:rPr>
                <w:rFonts w:ascii="Arial" w:hAnsi="Arial"/>
                <w:b w:val="0"/>
                <w:sz w:val="16"/>
              </w:rPr>
              <w:t>DOI bevorzugt aufnehmen.</w:t>
            </w:r>
          </w:p>
        </w:tc>
      </w:tr>
      <w:tr>
        <w:tc>
          <w:tcPr>
            <w:tcW w:type="dxa" w:w="1800"/>
            <w:vAlign w:val="top"/>
          </w:tcPr>
          <w:p>
            <w:r/>
            <w:r>
              <w:rPr>
                <w:rFonts w:ascii="Arial" w:hAnsi="Arial"/>
                <w:b w:val="0"/>
                <w:sz w:val="16"/>
              </w:rPr>
              <w:t>Online-Fachquelle</w:t>
            </w:r>
          </w:p>
        </w:tc>
        <w:tc>
          <w:tcPr>
            <w:tcW w:type="dxa" w:w="2500"/>
            <w:vAlign w:val="top"/>
          </w:tcPr>
          <w:p>
            <w:r/>
            <w:r>
              <w:rPr>
                <w:rFonts w:ascii="Arial" w:hAnsi="Arial"/>
                <w:b w:val="0"/>
                <w:sz w:val="16"/>
              </w:rPr>
              <w:t>Autor/Institution, Titel, URL, Abrufdatum</w:t>
            </w:r>
          </w:p>
        </w:tc>
        <w:tc>
          <w:tcPr>
            <w:tcW w:type="dxa" w:w="3200"/>
            <w:vAlign w:val="top"/>
          </w:tcPr>
          <w:p>
            <w:r/>
            <w:r>
              <w:rPr>
                <w:rFonts w:ascii="Arial" w:hAnsi="Arial"/>
                <w:b w:val="0"/>
                <w:sz w:val="16"/>
              </w:rPr>
              <w:t>ORACC, TheTorah, Bible Odyssey</w:t>
            </w:r>
          </w:p>
        </w:tc>
        <w:tc>
          <w:tcPr>
            <w:tcW w:type="dxa" w:w="1500"/>
            <w:vAlign w:val="top"/>
          </w:tcPr>
          <w:p>
            <w:r/>
            <w:r>
              <w:rPr>
                <w:rFonts w:ascii="Arial" w:hAnsi="Arial"/>
                <w:b w:val="0"/>
                <w:sz w:val="16"/>
              </w:rPr>
              <w:t>Nur fachlich tragfaehige Quellen verwenden.</w:t>
            </w:r>
          </w:p>
        </w:tc>
      </w:tr>
      <w:tr>
        <w:tc>
          <w:tcPr>
            <w:tcW w:type="dxa" w:w="1800"/>
            <w:vAlign w:val="top"/>
          </w:tcPr>
          <w:p>
            <w:r/>
            <w:r>
              <w:rPr>
                <w:rFonts w:ascii="Arial" w:hAnsi="Arial"/>
                <w:b w:val="0"/>
                <w:sz w:val="16"/>
              </w:rPr>
              <w:t>Arbeitsdokument/Anlage</w:t>
            </w:r>
          </w:p>
        </w:tc>
        <w:tc>
          <w:tcPr>
            <w:tcW w:type="dxa" w:w="2500"/>
            <w:vAlign w:val="top"/>
          </w:tcPr>
          <w:p>
            <w:r/>
            <w:r>
              <w:rPr>
                <w:rFonts w:ascii="Arial" w:hAnsi="Arial"/>
                <w:b w:val="0"/>
                <w:sz w:val="16"/>
              </w:rPr>
              <w:t>Anlage, Titel, lokaler Dateiname, Bearbeitungsstand</w:t>
            </w:r>
          </w:p>
        </w:tc>
        <w:tc>
          <w:tcPr>
            <w:tcW w:type="dxa" w:w="3200"/>
            <w:vAlign w:val="top"/>
          </w:tcPr>
          <w:p>
            <w:r/>
            <w:r>
              <w:rPr>
                <w:rFonts w:ascii="Arial" w:hAnsi="Arial"/>
                <w:b w:val="0"/>
                <w:sz w:val="16"/>
              </w:rPr>
              <w:t>Anlage F anunaki.docx</w:t>
            </w:r>
          </w:p>
        </w:tc>
        <w:tc>
          <w:tcPr>
            <w:tcW w:type="dxa" w:w="1500"/>
            <w:vAlign w:val="top"/>
          </w:tcPr>
          <w:p>
            <w:r/>
            <w:r>
              <w:rPr>
                <w:rFonts w:ascii="Arial" w:hAnsi="Arial"/>
                <w:b w:val="0"/>
                <w:sz w:val="16"/>
              </w:rPr>
              <w:t>Als Arbeitsnotiz, nicht als externe Evidenz.</w:t>
            </w:r>
          </w:p>
        </w:tc>
      </w:tr>
    </w:tbl>
    <w:p>
      <w:pPr>
        <w:pStyle w:val="Heading2"/>
      </w:pPr>
      <w:r>
        <w:t>3. Quellenhierarchie fuer die Endfassung</w:t>
      </w:r>
    </w:p>
    <w:p>
      <w:r>
        <w:rPr>
          <w:rFonts w:ascii="Arial" w:hAnsi="Arial"/>
        </w:rPr>
        <w:t>Damit die Arbeit nicht spekulativ wirkt, muss jede Aussage einer Quellenebene zugeordnet werden. Die folgende Hierarchie entscheidet, wie stark ein Argument gewichtet werden darf.</w:t>
      </w:r>
      <w:r>
        <w:footnoteReference w:id="81"/>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Stufe</w:t>
            </w:r>
          </w:p>
        </w:tc>
        <w:tc>
          <w:tcPr>
            <w:tcW w:type="dxa" w:w="2500"/>
            <w:vAlign w:val="top"/>
            <w:shd w:fill="F1F3F4"/>
          </w:tcPr>
          <w:p>
            <w:r/>
            <w:r>
              <w:rPr>
                <w:rFonts w:ascii="Arial" w:hAnsi="Arial"/>
                <w:b/>
                <w:sz w:val="16"/>
              </w:rPr>
              <w:t>Quellenebene</w:t>
            </w:r>
          </w:p>
        </w:tc>
        <w:tc>
          <w:tcPr>
            <w:tcW w:type="dxa" w:w="3200"/>
            <w:vAlign w:val="top"/>
            <w:shd w:fill="F1F3F4"/>
          </w:tcPr>
          <w:p>
            <w:r/>
            <w:r>
              <w:rPr>
                <w:rFonts w:ascii="Arial" w:hAnsi="Arial"/>
                <w:b/>
                <w:sz w:val="16"/>
              </w:rPr>
              <w:t>Beispiele</w:t>
            </w:r>
          </w:p>
        </w:tc>
        <w:tc>
          <w:tcPr>
            <w:tcW w:type="dxa" w:w="1500"/>
            <w:vAlign w:val="top"/>
            <w:shd w:fill="F1F3F4"/>
          </w:tcPr>
          <w:p>
            <w:r/>
            <w:r>
              <w:rPr>
                <w:rFonts w:ascii="Arial" w:hAnsi="Arial"/>
                <w:b/>
                <w:sz w:val="16"/>
              </w:rPr>
              <w:t>Verwendung</w:t>
            </w:r>
          </w:p>
        </w:tc>
      </w:tr>
      <w:tr>
        <w:tc>
          <w:tcPr>
            <w:tcW w:type="dxa" w:w="1800"/>
            <w:vAlign w:val="top"/>
          </w:tcPr>
          <w:p>
            <w:r/>
            <w:r>
              <w:rPr>
                <w:rFonts w:ascii="Arial" w:hAnsi="Arial"/>
                <w:b w:val="0"/>
                <w:sz w:val="16"/>
              </w:rPr>
              <w:t>A</w:t>
            </w:r>
          </w:p>
        </w:tc>
        <w:tc>
          <w:tcPr>
            <w:tcW w:type="dxa" w:w="2500"/>
            <w:vAlign w:val="top"/>
          </w:tcPr>
          <w:p>
            <w:r/>
            <w:r>
              <w:rPr>
                <w:rFonts w:ascii="Arial" w:hAnsi="Arial"/>
                <w:b w:val="0"/>
                <w:sz w:val="16"/>
              </w:rPr>
              <w:t>Primaertexte und Textvarianten</w:t>
            </w:r>
          </w:p>
        </w:tc>
        <w:tc>
          <w:tcPr>
            <w:tcW w:type="dxa" w:w="3200"/>
            <w:vAlign w:val="top"/>
          </w:tcPr>
          <w:p>
            <w:r/>
            <w:r>
              <w:rPr>
                <w:rFonts w:ascii="Arial" w:hAnsi="Arial"/>
                <w:b w:val="0"/>
                <w:sz w:val="16"/>
              </w:rPr>
              <w:t>Hebraeische Bibel, DSS, LXX, Ugarit, Inschriften, 1 Henoch, Jubilaeen</w:t>
            </w:r>
          </w:p>
        </w:tc>
        <w:tc>
          <w:tcPr>
            <w:tcW w:type="dxa" w:w="1500"/>
            <w:vAlign w:val="top"/>
          </w:tcPr>
          <w:p>
            <w:r/>
            <w:r>
              <w:rPr>
                <w:rFonts w:ascii="Arial" w:hAnsi="Arial"/>
                <w:b w:val="0"/>
                <w:sz w:val="16"/>
              </w:rPr>
              <w:t>Hoechste Beweiskraft fuer Textbefund.</w:t>
            </w:r>
          </w:p>
        </w:tc>
      </w:tr>
      <w:tr>
        <w:tc>
          <w:tcPr>
            <w:tcW w:type="dxa" w:w="1800"/>
            <w:vAlign w:val="top"/>
          </w:tcPr>
          <w:p>
            <w:r/>
            <w:r>
              <w:rPr>
                <w:rFonts w:ascii="Arial" w:hAnsi="Arial"/>
                <w:b w:val="0"/>
                <w:sz w:val="16"/>
              </w:rPr>
              <w:t>B</w:t>
            </w:r>
          </w:p>
        </w:tc>
        <w:tc>
          <w:tcPr>
            <w:tcW w:type="dxa" w:w="2500"/>
            <w:vAlign w:val="top"/>
          </w:tcPr>
          <w:p>
            <w:r/>
            <w:r>
              <w:rPr>
                <w:rFonts w:ascii="Arial" w:hAnsi="Arial"/>
                <w:b w:val="0"/>
                <w:sz w:val="16"/>
              </w:rPr>
              <w:t>Archäologische/Inschriftliche Befunde</w:t>
            </w:r>
          </w:p>
        </w:tc>
        <w:tc>
          <w:tcPr>
            <w:tcW w:type="dxa" w:w="3200"/>
            <w:vAlign w:val="top"/>
          </w:tcPr>
          <w:p>
            <w:r/>
            <w:r>
              <w:rPr>
                <w:rFonts w:ascii="Arial" w:hAnsi="Arial"/>
                <w:b w:val="0"/>
                <w:sz w:val="16"/>
              </w:rPr>
              <w:t>Kuntillet Ajrud, Khirbet el-Qom, Merenptah-Stele</w:t>
            </w:r>
          </w:p>
        </w:tc>
        <w:tc>
          <w:tcPr>
            <w:tcW w:type="dxa" w:w="1500"/>
            <w:vAlign w:val="top"/>
          </w:tcPr>
          <w:p>
            <w:r/>
            <w:r>
              <w:rPr>
                <w:rFonts w:ascii="Arial" w:hAnsi="Arial"/>
                <w:b w:val="0"/>
                <w:sz w:val="16"/>
              </w:rPr>
              <w:t>Sehr stark, aber interpretationsoffen.</w:t>
            </w:r>
          </w:p>
        </w:tc>
      </w:tr>
      <w:tr>
        <w:tc>
          <w:tcPr>
            <w:tcW w:type="dxa" w:w="1800"/>
            <w:vAlign w:val="top"/>
          </w:tcPr>
          <w:p>
            <w:r/>
            <w:r>
              <w:rPr>
                <w:rFonts w:ascii="Arial" w:hAnsi="Arial"/>
                <w:b w:val="0"/>
                <w:sz w:val="16"/>
              </w:rPr>
              <w:t>C</w:t>
            </w:r>
          </w:p>
        </w:tc>
        <w:tc>
          <w:tcPr>
            <w:tcW w:type="dxa" w:w="2500"/>
            <w:vAlign w:val="top"/>
          </w:tcPr>
          <w:p>
            <w:r/>
            <w:r>
              <w:rPr>
                <w:rFonts w:ascii="Arial" w:hAnsi="Arial"/>
                <w:b w:val="0"/>
                <w:sz w:val="16"/>
              </w:rPr>
              <w:t>Fachmonographien und peer-reviewte Aufsaetze</w:t>
            </w:r>
          </w:p>
        </w:tc>
        <w:tc>
          <w:tcPr>
            <w:tcW w:type="dxa" w:w="3200"/>
            <w:vAlign w:val="top"/>
          </w:tcPr>
          <w:p>
            <w:r/>
            <w:r>
              <w:rPr>
                <w:rFonts w:ascii="Arial" w:hAnsi="Arial"/>
                <w:b w:val="0"/>
                <w:sz w:val="16"/>
              </w:rPr>
              <w:t>Smith, Tov, Schniedewind, Stahl, Reed, Firestone</w:t>
            </w:r>
          </w:p>
        </w:tc>
        <w:tc>
          <w:tcPr>
            <w:tcW w:type="dxa" w:w="1500"/>
            <w:vAlign w:val="top"/>
          </w:tcPr>
          <w:p>
            <w:r/>
            <w:r>
              <w:rPr>
                <w:rFonts w:ascii="Arial" w:hAnsi="Arial"/>
                <w:b w:val="0"/>
                <w:sz w:val="16"/>
              </w:rPr>
              <w:t>Hauptbasis fuer wissenschaftliche Deutung.</w:t>
            </w:r>
          </w:p>
        </w:tc>
      </w:tr>
      <w:tr>
        <w:tc>
          <w:tcPr>
            <w:tcW w:type="dxa" w:w="1800"/>
            <w:vAlign w:val="top"/>
          </w:tcPr>
          <w:p>
            <w:r/>
            <w:r>
              <w:rPr>
                <w:rFonts w:ascii="Arial" w:hAnsi="Arial"/>
                <w:b w:val="0"/>
                <w:sz w:val="16"/>
              </w:rPr>
              <w:t>D</w:t>
            </w:r>
          </w:p>
        </w:tc>
        <w:tc>
          <w:tcPr>
            <w:tcW w:type="dxa" w:w="2500"/>
            <w:vAlign w:val="top"/>
          </w:tcPr>
          <w:p>
            <w:r/>
            <w:r>
              <w:rPr>
                <w:rFonts w:ascii="Arial" w:hAnsi="Arial"/>
                <w:b w:val="0"/>
                <w:sz w:val="16"/>
              </w:rPr>
              <w:t>Fachnahe Online-Ressourcen</w:t>
            </w:r>
          </w:p>
        </w:tc>
        <w:tc>
          <w:tcPr>
            <w:tcW w:type="dxa" w:w="3200"/>
            <w:vAlign w:val="top"/>
          </w:tcPr>
          <w:p>
            <w:r/>
            <w:r>
              <w:rPr>
                <w:rFonts w:ascii="Arial" w:hAnsi="Arial"/>
                <w:b w:val="0"/>
                <w:sz w:val="16"/>
              </w:rPr>
              <w:t>ORACC, TheTorah, Bible Odyssey, BAS mit Autorbezug</w:t>
            </w:r>
          </w:p>
        </w:tc>
        <w:tc>
          <w:tcPr>
            <w:tcW w:type="dxa" w:w="1500"/>
            <w:vAlign w:val="top"/>
          </w:tcPr>
          <w:p>
            <w:r/>
            <w:r>
              <w:rPr>
                <w:rFonts w:ascii="Arial" w:hAnsi="Arial"/>
                <w:b w:val="0"/>
                <w:sz w:val="16"/>
              </w:rPr>
              <w:t>Gut fuer Orientierung, mit Fachliteratur absichern.</w:t>
            </w:r>
          </w:p>
        </w:tc>
      </w:tr>
      <w:tr>
        <w:tc>
          <w:tcPr>
            <w:tcW w:type="dxa" w:w="1800"/>
            <w:vAlign w:val="top"/>
          </w:tcPr>
          <w:p>
            <w:r/>
            <w:r>
              <w:rPr>
                <w:rFonts w:ascii="Arial" w:hAnsi="Arial"/>
                <w:b w:val="0"/>
                <w:sz w:val="16"/>
              </w:rPr>
              <w:t>E</w:t>
            </w:r>
          </w:p>
        </w:tc>
        <w:tc>
          <w:tcPr>
            <w:tcW w:type="dxa" w:w="2500"/>
            <w:vAlign w:val="top"/>
          </w:tcPr>
          <w:p>
            <w:r/>
            <w:r>
              <w:rPr>
                <w:rFonts w:ascii="Arial" w:hAnsi="Arial"/>
                <w:b w:val="0"/>
                <w:sz w:val="16"/>
              </w:rPr>
              <w:t>Eigene Arbeitsnotizen und Chat-Auswertungen</w:t>
            </w:r>
          </w:p>
        </w:tc>
        <w:tc>
          <w:tcPr>
            <w:tcW w:type="dxa" w:w="3200"/>
            <w:vAlign w:val="top"/>
          </w:tcPr>
          <w:p>
            <w:r/>
            <w:r>
              <w:rPr>
                <w:rFonts w:ascii="Arial" w:hAnsi="Arial"/>
                <w:b w:val="0"/>
                <w:sz w:val="16"/>
              </w:rPr>
              <w:t>Anlagen A-N, lokale Dossiers</w:t>
            </w:r>
          </w:p>
        </w:tc>
        <w:tc>
          <w:tcPr>
            <w:tcW w:type="dxa" w:w="1500"/>
            <w:vAlign w:val="top"/>
          </w:tcPr>
          <w:p>
            <w:r/>
            <w:r>
              <w:rPr>
                <w:rFonts w:ascii="Arial" w:hAnsi="Arial"/>
                <w:b w:val="0"/>
                <w:sz w:val="16"/>
              </w:rPr>
              <w:t>Nur als Forschungsnotizen, nicht als Belegersatz.</w:t>
            </w:r>
          </w:p>
        </w:tc>
      </w:tr>
      <w:tr>
        <w:tc>
          <w:tcPr>
            <w:tcW w:type="dxa" w:w="1800"/>
            <w:vAlign w:val="top"/>
          </w:tcPr>
          <w:p>
            <w:r/>
            <w:r>
              <w:rPr>
                <w:rFonts w:ascii="Arial" w:hAnsi="Arial"/>
                <w:b w:val="0"/>
                <w:sz w:val="16"/>
              </w:rPr>
              <w:t>F</w:t>
            </w:r>
          </w:p>
        </w:tc>
        <w:tc>
          <w:tcPr>
            <w:tcW w:type="dxa" w:w="2500"/>
            <w:vAlign w:val="top"/>
          </w:tcPr>
          <w:p>
            <w:r/>
            <w:r>
              <w:rPr>
                <w:rFonts w:ascii="Arial" w:hAnsi="Arial"/>
                <w:b w:val="0"/>
                <w:sz w:val="16"/>
              </w:rPr>
              <w:t>Populaere oder praespekulative Inhalte</w:t>
            </w:r>
          </w:p>
        </w:tc>
        <w:tc>
          <w:tcPr>
            <w:tcW w:type="dxa" w:w="3200"/>
            <w:vAlign w:val="top"/>
          </w:tcPr>
          <w:p>
            <w:r/>
            <w:r>
              <w:rPr>
                <w:rFonts w:ascii="Arial" w:hAnsi="Arial"/>
                <w:b w:val="0"/>
                <w:sz w:val="16"/>
              </w:rPr>
              <w:t>YouTube, Prae-Astronautik, nichtfachliche Blogs</w:t>
            </w:r>
          </w:p>
        </w:tc>
        <w:tc>
          <w:tcPr>
            <w:tcW w:type="dxa" w:w="1500"/>
            <w:vAlign w:val="top"/>
          </w:tcPr>
          <w:p>
            <w:r/>
            <w:r>
              <w:rPr>
                <w:rFonts w:ascii="Arial" w:hAnsi="Arial"/>
                <w:b w:val="0"/>
                <w:sz w:val="16"/>
              </w:rPr>
              <w:t>Nur als Impuls/Abgrenzung, nicht als Evidenz.</w:t>
            </w:r>
          </w:p>
        </w:tc>
      </w:tr>
    </w:tbl>
    <w:p>
      <w:pPr>
        <w:pStyle w:val="Heading2"/>
      </w:pPr>
      <w:r>
        <w:t>4. Beleggrade und Sprachregelung</w:t>
      </w:r>
    </w:p>
    <w:p>
      <w:r>
        <w:rPr>
          <w:rFonts w:ascii="Arial" w:hAnsi="Arial"/>
        </w:rPr>
        <w:t>Die Arbeit soll konsequent zwischen 'belegt', 'stark plausibel', 'plausibel/strittig', 'nicht belegt' und 'spekulativ' unterscheiden. Dadurch bleibt Raum fuer die Forschungsintuition, ohne dass unbewiesene Gleichsetzungen als Fakt erscheinen.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Beleggrad</w:t>
            </w:r>
          </w:p>
        </w:tc>
        <w:tc>
          <w:tcPr>
            <w:tcW w:type="dxa" w:w="2500"/>
            <w:vAlign w:val="top"/>
            <w:shd w:fill="F1F3F4"/>
          </w:tcPr>
          <w:p>
            <w:r/>
            <w:r>
              <w:rPr>
                <w:rFonts w:ascii="Arial" w:hAnsi="Arial"/>
                <w:b/>
                <w:sz w:val="16"/>
              </w:rPr>
              <w:t>Definition</w:t>
            </w:r>
          </w:p>
        </w:tc>
        <w:tc>
          <w:tcPr>
            <w:tcW w:type="dxa" w:w="3200"/>
            <w:vAlign w:val="top"/>
            <w:shd w:fill="F1F3F4"/>
          </w:tcPr>
          <w:p>
            <w:r/>
            <w:r>
              <w:rPr>
                <w:rFonts w:ascii="Arial" w:hAnsi="Arial"/>
                <w:b/>
                <w:sz w:val="16"/>
              </w:rPr>
              <w:t>Beispiel</w:t>
            </w:r>
          </w:p>
        </w:tc>
        <w:tc>
          <w:tcPr>
            <w:tcW w:type="dxa" w:w="1500"/>
            <w:vAlign w:val="top"/>
            <w:shd w:fill="F1F3F4"/>
          </w:tcPr>
          <w:p>
            <w:r/>
            <w:r>
              <w:rPr>
                <w:rFonts w:ascii="Arial" w:hAnsi="Arial"/>
                <w:b/>
                <w:sz w:val="16"/>
              </w:rPr>
              <w:t>Formulierungsregel</w:t>
            </w:r>
          </w:p>
        </w:tc>
      </w:tr>
      <w:tr>
        <w:tc>
          <w:tcPr>
            <w:tcW w:type="dxa" w:w="1800"/>
            <w:vAlign w:val="top"/>
          </w:tcPr>
          <w:p>
            <w:r/>
            <w:r>
              <w:rPr>
                <w:rFonts w:ascii="Arial" w:hAnsi="Arial"/>
                <w:b w:val="0"/>
                <w:sz w:val="16"/>
              </w:rPr>
              <w:t>Belegt</w:t>
            </w:r>
          </w:p>
        </w:tc>
        <w:tc>
          <w:tcPr>
            <w:tcW w:type="dxa" w:w="2500"/>
            <w:vAlign w:val="top"/>
          </w:tcPr>
          <w:p>
            <w:r/>
            <w:r>
              <w:rPr>
                <w:rFonts w:ascii="Arial" w:hAnsi="Arial"/>
                <w:b w:val="0"/>
                <w:sz w:val="16"/>
              </w:rPr>
              <w:t>Direkter Text-/Inschriftenbefund oder breiter Konsens</w:t>
            </w:r>
          </w:p>
        </w:tc>
        <w:tc>
          <w:tcPr>
            <w:tcW w:type="dxa" w:w="3200"/>
            <w:vAlign w:val="top"/>
          </w:tcPr>
          <w:p>
            <w:r/>
            <w:r>
              <w:rPr>
                <w:rFonts w:ascii="Arial" w:hAnsi="Arial"/>
                <w:b w:val="0"/>
                <w:sz w:val="16"/>
              </w:rPr>
              <w:t>Psalm 82 enthaelt einen goettlichen Rat; Kuntillet Ajrud nennt JHWH und seine asherah.</w:t>
            </w:r>
          </w:p>
        </w:tc>
        <w:tc>
          <w:tcPr>
            <w:tcW w:type="dxa" w:w="1500"/>
            <w:vAlign w:val="top"/>
          </w:tcPr>
          <w:p>
            <w:r/>
            <w:r>
              <w:rPr>
                <w:rFonts w:ascii="Arial" w:hAnsi="Arial"/>
                <w:b w:val="0"/>
                <w:sz w:val="16"/>
              </w:rPr>
              <w:t>Als Befund formulieren.</w:t>
            </w:r>
          </w:p>
        </w:tc>
      </w:tr>
      <w:tr>
        <w:tc>
          <w:tcPr>
            <w:tcW w:type="dxa" w:w="1800"/>
            <w:vAlign w:val="top"/>
          </w:tcPr>
          <w:p>
            <w:r/>
            <w:r>
              <w:rPr>
                <w:rFonts w:ascii="Arial" w:hAnsi="Arial"/>
                <w:b w:val="0"/>
                <w:sz w:val="16"/>
              </w:rPr>
              <w:t>Stark plausibel</w:t>
            </w:r>
          </w:p>
        </w:tc>
        <w:tc>
          <w:tcPr>
            <w:tcW w:type="dxa" w:w="2500"/>
            <w:vAlign w:val="top"/>
          </w:tcPr>
          <w:p>
            <w:r/>
            <w:r>
              <w:rPr>
                <w:rFonts w:ascii="Arial" w:hAnsi="Arial"/>
                <w:b w:val="0"/>
                <w:sz w:val="16"/>
              </w:rPr>
              <w:t>Mehrere Quellenfelder stuetzen dieselbe Rekonstruktion</w:t>
            </w:r>
          </w:p>
        </w:tc>
        <w:tc>
          <w:tcPr>
            <w:tcW w:type="dxa" w:w="3200"/>
            <w:vAlign w:val="top"/>
          </w:tcPr>
          <w:p>
            <w:r/>
            <w:r>
              <w:rPr>
                <w:rFonts w:ascii="Arial" w:hAnsi="Arial"/>
                <w:b w:val="0"/>
                <w:sz w:val="16"/>
              </w:rPr>
              <w:t>JHWH uebernimmt El-Titel und Baal/Hadad-Funktionen.</w:t>
            </w:r>
          </w:p>
        </w:tc>
        <w:tc>
          <w:tcPr>
            <w:tcW w:type="dxa" w:w="1500"/>
            <w:vAlign w:val="top"/>
          </w:tcPr>
          <w:p>
            <w:r/>
            <w:r>
              <w:rPr>
                <w:rFonts w:ascii="Arial" w:hAnsi="Arial"/>
                <w:b w:val="0"/>
                <w:sz w:val="16"/>
              </w:rPr>
              <w:t>Als Rekonstruktion mit Quellenbasis formulieren.</w:t>
            </w:r>
          </w:p>
        </w:tc>
      </w:tr>
      <w:tr>
        <w:tc>
          <w:tcPr>
            <w:tcW w:type="dxa" w:w="1800"/>
            <w:vAlign w:val="top"/>
          </w:tcPr>
          <w:p>
            <w:r/>
            <w:r>
              <w:rPr>
                <w:rFonts w:ascii="Arial" w:hAnsi="Arial"/>
                <w:b w:val="0"/>
                <w:sz w:val="16"/>
              </w:rPr>
              <w:t>Plausibel/strittig</w:t>
            </w:r>
          </w:p>
        </w:tc>
        <w:tc>
          <w:tcPr>
            <w:tcW w:type="dxa" w:w="2500"/>
            <w:vAlign w:val="top"/>
          </w:tcPr>
          <w:p>
            <w:r/>
            <w:r>
              <w:rPr>
                <w:rFonts w:ascii="Arial" w:hAnsi="Arial"/>
                <w:b w:val="0"/>
                <w:sz w:val="16"/>
              </w:rPr>
              <w:t>Gute Argumente, aber Forschungsdebatte offen</w:t>
            </w:r>
          </w:p>
        </w:tc>
        <w:tc>
          <w:tcPr>
            <w:tcW w:type="dxa" w:w="3200"/>
            <w:vAlign w:val="top"/>
          </w:tcPr>
          <w:p>
            <w:r/>
            <w:r>
              <w:rPr>
                <w:rFonts w:ascii="Arial" w:hAnsi="Arial"/>
                <w:b w:val="0"/>
                <w:sz w:val="16"/>
              </w:rPr>
              <w:t>JHWH als urspruenglich suedlicher Gott; Aschera als Partnerin JHWHs.</w:t>
            </w:r>
          </w:p>
        </w:tc>
        <w:tc>
          <w:tcPr>
            <w:tcW w:type="dxa" w:w="1500"/>
            <w:vAlign w:val="top"/>
          </w:tcPr>
          <w:p>
            <w:r/>
            <w:r>
              <w:rPr>
                <w:rFonts w:ascii="Arial" w:hAnsi="Arial"/>
                <w:b w:val="0"/>
                <w:sz w:val="16"/>
              </w:rPr>
              <w:t>Debatte sichtbar machen.</w:t>
            </w:r>
          </w:p>
        </w:tc>
      </w:tr>
      <w:tr>
        <w:tc>
          <w:tcPr>
            <w:tcW w:type="dxa" w:w="1800"/>
            <w:vAlign w:val="top"/>
          </w:tcPr>
          <w:p>
            <w:r/>
            <w:r>
              <w:rPr>
                <w:rFonts w:ascii="Arial" w:hAnsi="Arial"/>
                <w:b w:val="0"/>
                <w:sz w:val="16"/>
              </w:rPr>
              <w:t>Nicht belegt</w:t>
            </w:r>
          </w:p>
        </w:tc>
        <w:tc>
          <w:tcPr>
            <w:tcW w:type="dxa" w:w="2500"/>
            <w:vAlign w:val="top"/>
          </w:tcPr>
          <w:p>
            <w:r/>
            <w:r>
              <w:rPr>
                <w:rFonts w:ascii="Arial" w:hAnsi="Arial"/>
                <w:b w:val="0"/>
                <w:sz w:val="16"/>
              </w:rPr>
              <w:t>Keine direkte Quelle oder unzureichende Kontinuitaet</w:t>
            </w:r>
          </w:p>
        </w:tc>
        <w:tc>
          <w:tcPr>
            <w:tcW w:type="dxa" w:w="3200"/>
            <w:vAlign w:val="top"/>
          </w:tcPr>
          <w:p>
            <w:r/>
            <w:r>
              <w:rPr>
                <w:rFonts w:ascii="Arial" w:hAnsi="Arial"/>
                <w:b w:val="0"/>
                <w:sz w:val="16"/>
              </w:rPr>
              <w:t>Anunnaki = Elohim; Aschera = Mutter Jesu.</w:t>
            </w:r>
          </w:p>
        </w:tc>
        <w:tc>
          <w:tcPr>
            <w:tcW w:type="dxa" w:w="1500"/>
            <w:vAlign w:val="top"/>
          </w:tcPr>
          <w:p>
            <w:r/>
            <w:r>
              <w:rPr>
                <w:rFonts w:ascii="Arial" w:hAnsi="Arial"/>
                <w:b w:val="0"/>
                <w:sz w:val="16"/>
              </w:rPr>
              <w:t>Nicht als Ergebnis behaupten.</w:t>
            </w:r>
          </w:p>
        </w:tc>
      </w:tr>
      <w:tr>
        <w:tc>
          <w:tcPr>
            <w:tcW w:type="dxa" w:w="1800"/>
            <w:vAlign w:val="top"/>
          </w:tcPr>
          <w:p>
            <w:r/>
            <w:r>
              <w:rPr>
                <w:rFonts w:ascii="Arial" w:hAnsi="Arial"/>
                <w:b w:val="0"/>
                <w:sz w:val="16"/>
              </w:rPr>
              <w:t>Spekulativ</w:t>
            </w:r>
          </w:p>
        </w:tc>
        <w:tc>
          <w:tcPr>
            <w:tcW w:type="dxa" w:w="2500"/>
            <w:vAlign w:val="top"/>
          </w:tcPr>
          <w:p>
            <w:r/>
            <w:r>
              <w:rPr>
                <w:rFonts w:ascii="Arial" w:hAnsi="Arial"/>
                <w:b w:val="0"/>
                <w:sz w:val="16"/>
              </w:rPr>
              <w:t>Moderne Deutung ohne antike Textbruecke</w:t>
            </w:r>
          </w:p>
        </w:tc>
        <w:tc>
          <w:tcPr>
            <w:tcW w:type="dxa" w:w="3200"/>
            <w:vAlign w:val="top"/>
          </w:tcPr>
          <w:p>
            <w:r/>
            <w:r>
              <w:rPr>
                <w:rFonts w:ascii="Arial" w:hAnsi="Arial"/>
                <w:b w:val="0"/>
                <w:sz w:val="16"/>
              </w:rPr>
              <w:t>Realhistorischer Clash gleichrangiger Goetter.</w:t>
            </w:r>
          </w:p>
        </w:tc>
        <w:tc>
          <w:tcPr>
            <w:tcW w:type="dxa" w:w="1500"/>
            <w:vAlign w:val="top"/>
          </w:tcPr>
          <w:p>
            <w:r/>
            <w:r>
              <w:rPr>
                <w:rFonts w:ascii="Arial" w:hAnsi="Arial"/>
                <w:b w:val="0"/>
                <w:sz w:val="16"/>
              </w:rPr>
              <w:t>Nur als Frage/Impuls abgrenzen.</w:t>
            </w:r>
          </w:p>
        </w:tc>
      </w:tr>
    </w:tbl>
    <w:p>
      <w:r>
        <w:rPr>
          <w:rFonts w:ascii="Arial" w:hAnsi="Arial"/>
        </w:rPr>
        <w:t>Fuer die weitere Redaktion gilt deshalb eine strenge Sprachregel: Aus einem Motivvergleich wird keine Identitaetsthese, aus einer spaeteren theologischen Deutung kein frueher historischer Befund, und aus einer biblischen Polemik gegen andere Gottheiten kein automatischer Nachweis, dass diese Gottheiten realhistorisch identisch mit JHWH waren. Umgekehrt duerfen die Texte aber auch nicht vorschnell harmonisiert werden: Wenn aeltere Fassungen, Inschriften oder Vergleichstexte eine goettliche Mehrzahl erkennen lassen, muss diese Mehrzahl als religionsgeschichtlicher Befund sichtbar bleiben.</w:t>
      </w:r>
      <w:r>
        <w:footnoteReference w:id="82"/>
      </w:r>
    </w:p>
    <w:p>
      <w:pPr>
        <w:pStyle w:val="Heading2"/>
      </w:pPr>
      <w:r>
        <w:t>5. Verbindliche Regeln fuer die weitere Ausarbeitung</w:t>
      </w:r>
    </w:p>
    <w:p>
      <w:r>
        <w:rPr>
          <w:rFonts w:ascii="Arial" w:hAnsi="Arial"/>
        </w:rPr>
        <w:t>Ab dieser Fassung gilt Kapitel 10 nicht nur als formaler Hinweis, sondern als verbindliche Redaktionsnorm fuer die weitere Arbeit. Jedes neue Antwortkapitel muss daher nicht nur Fragen sammeln, sondern Antworten nach Beleggrad liefern. Wo keine belastbare Antwort moeglich ist, wird das ausdruecklich als Grenze des Materials markiert. Dadurch bleibt die Arbeit offen fuer neue Quellen, ohne ihre wissenschaftliche Trennschaerfe zu verlieren.</w:t>
      </w:r>
      <w:r>
        <w:footnoteReference w:id="83"/>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Nr.</w:t>
            </w:r>
          </w:p>
        </w:tc>
        <w:tc>
          <w:tcPr>
            <w:tcW w:type="dxa" w:w="2500"/>
            <w:vAlign w:val="top"/>
            <w:shd w:fill="F1F3F4"/>
          </w:tcPr>
          <w:p>
            <w:r/>
            <w:r>
              <w:rPr>
                <w:rFonts w:ascii="Arial" w:hAnsi="Arial"/>
                <w:b/>
                <w:sz w:val="16"/>
              </w:rPr>
              <w:t>Regel</w:t>
            </w:r>
          </w:p>
        </w:tc>
        <w:tc>
          <w:tcPr>
            <w:tcW w:type="dxa" w:w="3200"/>
            <w:vAlign w:val="top"/>
            <w:shd w:fill="F1F3F4"/>
          </w:tcPr>
          <w:p>
            <w:r/>
            <w:r>
              <w:rPr>
                <w:rFonts w:ascii="Arial" w:hAnsi="Arial"/>
                <w:b/>
                <w:sz w:val="16"/>
              </w:rPr>
              <w:t>Praktische Anwendung</w:t>
            </w:r>
          </w:p>
        </w:tc>
        <w:tc>
          <w:tcPr>
            <w:tcW w:type="dxa" w:w="1500"/>
            <w:vAlign w:val="top"/>
            <w:shd w:fill="F1F3F4"/>
          </w:tcPr>
          <w:p>
            <w:r/>
            <w:r>
              <w:rPr>
                <w:rFonts w:ascii="Arial" w:hAnsi="Arial"/>
                <w:b/>
                <w:sz w:val="16"/>
              </w:rPr>
              <w:t>Ziel</w:t>
            </w:r>
          </w:p>
        </w:tc>
      </w:tr>
      <w:tr>
        <w:tc>
          <w:tcPr>
            <w:tcW w:type="dxa" w:w="1800"/>
            <w:vAlign w:val="top"/>
          </w:tcPr>
          <w:p>
            <w:r/>
            <w:r>
              <w:rPr>
                <w:rFonts w:ascii="Arial" w:hAnsi="Arial"/>
                <w:b w:val="0"/>
                <w:sz w:val="16"/>
              </w:rPr>
              <w:t>1</w:t>
            </w:r>
          </w:p>
        </w:tc>
        <w:tc>
          <w:tcPr>
            <w:tcW w:type="dxa" w:w="2500"/>
            <w:vAlign w:val="top"/>
          </w:tcPr>
          <w:p>
            <w:r/>
            <w:r>
              <w:rPr>
                <w:rFonts w:ascii="Arial" w:hAnsi="Arial"/>
                <w:b w:val="0"/>
                <w:sz w:val="16"/>
              </w:rPr>
              <w:t>Jede These erhaelt einen Beleggrad.</w:t>
            </w:r>
          </w:p>
        </w:tc>
        <w:tc>
          <w:tcPr>
            <w:tcW w:type="dxa" w:w="3200"/>
            <w:vAlign w:val="top"/>
          </w:tcPr>
          <w:p>
            <w:r/>
            <w:r>
              <w:rPr>
                <w:rFonts w:ascii="Arial" w:hAnsi="Arial"/>
                <w:b w:val="0"/>
                <w:sz w:val="16"/>
              </w:rPr>
              <w:t>Belegt, stark plausibel, plausibel/strittig, nicht belegt, spekulativ oder Werturteil.</w:t>
            </w:r>
          </w:p>
        </w:tc>
        <w:tc>
          <w:tcPr>
            <w:tcW w:type="dxa" w:w="1500"/>
            <w:vAlign w:val="top"/>
          </w:tcPr>
          <w:p>
            <w:r/>
            <w:r>
              <w:rPr>
                <w:rFonts w:ascii="Arial" w:hAnsi="Arial"/>
                <w:b w:val="0"/>
                <w:sz w:val="16"/>
              </w:rPr>
              <w:t>Verhindert, dass Vermutung und Befund ineinanderlaufen.</w:t>
            </w:r>
          </w:p>
        </w:tc>
      </w:tr>
      <w:tr>
        <w:tc>
          <w:tcPr>
            <w:tcW w:type="dxa" w:w="1800"/>
            <w:vAlign w:val="top"/>
          </w:tcPr>
          <w:p>
            <w:r/>
            <w:r>
              <w:rPr>
                <w:rFonts w:ascii="Arial" w:hAnsi="Arial"/>
                <w:b w:val="0"/>
                <w:sz w:val="16"/>
              </w:rPr>
              <w:t>2</w:t>
            </w:r>
          </w:p>
        </w:tc>
        <w:tc>
          <w:tcPr>
            <w:tcW w:type="dxa" w:w="2500"/>
            <w:vAlign w:val="top"/>
          </w:tcPr>
          <w:p>
            <w:r/>
            <w:r>
              <w:rPr>
                <w:rFonts w:ascii="Arial" w:hAnsi="Arial"/>
                <w:b w:val="0"/>
                <w:sz w:val="16"/>
              </w:rPr>
              <w:t>Primaerquellen stehen vor Deutungsliteratur.</w:t>
            </w:r>
          </w:p>
        </w:tc>
        <w:tc>
          <w:tcPr>
            <w:tcW w:type="dxa" w:w="3200"/>
            <w:vAlign w:val="top"/>
          </w:tcPr>
          <w:p>
            <w:r/>
            <w:r>
              <w:rPr>
                <w:rFonts w:ascii="Arial" w:hAnsi="Arial"/>
                <w:b w:val="0"/>
                <w:sz w:val="16"/>
              </w:rPr>
              <w:t>Bibeltexte, DSS, LXX, Ugarit, Inschriften und antike Literatur zuerst pruefen.</w:t>
            </w:r>
          </w:p>
        </w:tc>
        <w:tc>
          <w:tcPr>
            <w:tcW w:type="dxa" w:w="1500"/>
            <w:vAlign w:val="top"/>
          </w:tcPr>
          <w:p>
            <w:r/>
            <w:r>
              <w:rPr>
                <w:rFonts w:ascii="Arial" w:hAnsi="Arial"/>
                <w:b w:val="0"/>
                <w:sz w:val="16"/>
              </w:rPr>
              <w:t>Sekundaerliteratur erklaert, ersetzt aber nicht den Befund.</w:t>
            </w:r>
          </w:p>
        </w:tc>
      </w:tr>
      <w:tr>
        <w:tc>
          <w:tcPr>
            <w:tcW w:type="dxa" w:w="1800"/>
            <w:vAlign w:val="top"/>
          </w:tcPr>
          <w:p>
            <w:r/>
            <w:r>
              <w:rPr>
                <w:rFonts w:ascii="Arial" w:hAnsi="Arial"/>
                <w:b w:val="0"/>
                <w:sz w:val="16"/>
              </w:rPr>
              <w:t>3</w:t>
            </w:r>
          </w:p>
        </w:tc>
        <w:tc>
          <w:tcPr>
            <w:tcW w:type="dxa" w:w="2500"/>
            <w:vAlign w:val="top"/>
          </w:tcPr>
          <w:p>
            <w:r/>
            <w:r>
              <w:rPr>
                <w:rFonts w:ascii="Arial" w:hAnsi="Arial"/>
                <w:b w:val="0"/>
                <w:sz w:val="16"/>
              </w:rPr>
              <w:t>Identitaetsthese nur bei starker Bruecke.</w:t>
            </w:r>
          </w:p>
        </w:tc>
        <w:tc>
          <w:tcPr>
            <w:tcW w:type="dxa" w:w="3200"/>
            <w:vAlign w:val="top"/>
          </w:tcPr>
          <w:p>
            <w:r/>
            <w:r>
              <w:rPr>
                <w:rFonts w:ascii="Arial" w:hAnsi="Arial"/>
                <w:b w:val="0"/>
                <w:sz w:val="16"/>
              </w:rPr>
              <w:t>Name, Sprache, Funktion, Kult, Ueberlieferung und historische Vermittlung muessen zusammenpassen.</w:t>
            </w:r>
          </w:p>
        </w:tc>
        <w:tc>
          <w:tcPr>
            <w:tcW w:type="dxa" w:w="1500"/>
            <w:vAlign w:val="top"/>
          </w:tcPr>
          <w:p>
            <w:r/>
            <w:r>
              <w:rPr>
                <w:rFonts w:ascii="Arial" w:hAnsi="Arial"/>
                <w:b w:val="0"/>
                <w:sz w:val="16"/>
              </w:rPr>
              <w:t>JHWH = Baal/Marduk/Anunnaki wird nicht als Fakt formuliert.</w:t>
            </w:r>
          </w:p>
        </w:tc>
      </w:tr>
      <w:tr>
        <w:tc>
          <w:tcPr>
            <w:tcW w:type="dxa" w:w="1800"/>
            <w:vAlign w:val="top"/>
          </w:tcPr>
          <w:p>
            <w:r/>
            <w:r>
              <w:rPr>
                <w:rFonts w:ascii="Arial" w:hAnsi="Arial"/>
                <w:b w:val="0"/>
                <w:sz w:val="16"/>
              </w:rPr>
              <w:t>4</w:t>
            </w:r>
          </w:p>
        </w:tc>
        <w:tc>
          <w:tcPr>
            <w:tcW w:type="dxa" w:w="2500"/>
            <w:vAlign w:val="top"/>
          </w:tcPr>
          <w:p>
            <w:r/>
            <w:r>
              <w:rPr>
                <w:rFonts w:ascii="Arial" w:hAnsi="Arial"/>
                <w:b w:val="0"/>
                <w:sz w:val="16"/>
              </w:rPr>
              <w:t>Motivuebernahme wird eigenstaendig ausgewertet.</w:t>
            </w:r>
          </w:p>
        </w:tc>
        <w:tc>
          <w:tcPr>
            <w:tcW w:type="dxa" w:w="3200"/>
            <w:vAlign w:val="top"/>
          </w:tcPr>
          <w:p>
            <w:r/>
            <w:r>
              <w:rPr>
                <w:rFonts w:ascii="Arial" w:hAnsi="Arial"/>
                <w:b w:val="0"/>
                <w:sz w:val="16"/>
              </w:rPr>
              <w:t>Wolkenreiter, Chaoskampf, Koenigstitel, Schoepferrolle, Goetterrat.</w:t>
            </w:r>
          </w:p>
        </w:tc>
        <w:tc>
          <w:tcPr>
            <w:tcW w:type="dxa" w:w="1500"/>
            <w:vAlign w:val="top"/>
          </w:tcPr>
          <w:p>
            <w:r/>
            <w:r>
              <w:rPr>
                <w:rFonts w:ascii="Arial" w:hAnsi="Arial"/>
                <w:b w:val="0"/>
                <w:sz w:val="16"/>
              </w:rPr>
              <w:t>Aehnlichkeit kann Einfluss oder Umdeutung bedeuten, nicht automatisch Identitaet.</w:t>
            </w:r>
          </w:p>
        </w:tc>
      </w:tr>
      <w:tr>
        <w:tc>
          <w:tcPr>
            <w:tcW w:type="dxa" w:w="1800"/>
            <w:vAlign w:val="top"/>
          </w:tcPr>
          <w:p>
            <w:r/>
            <w:r>
              <w:rPr>
                <w:rFonts w:ascii="Arial" w:hAnsi="Arial"/>
                <w:b w:val="0"/>
                <w:sz w:val="16"/>
              </w:rPr>
              <w:t>5</w:t>
            </w:r>
          </w:p>
        </w:tc>
        <w:tc>
          <w:tcPr>
            <w:tcW w:type="dxa" w:w="2500"/>
            <w:vAlign w:val="top"/>
          </w:tcPr>
          <w:p>
            <w:r/>
            <w:r>
              <w:rPr>
                <w:rFonts w:ascii="Arial" w:hAnsi="Arial"/>
                <w:b w:val="0"/>
                <w:sz w:val="16"/>
              </w:rPr>
              <w:t>Normative Theologie und gelebte Religion werden getrennt.</w:t>
            </w:r>
          </w:p>
        </w:tc>
        <w:tc>
          <w:tcPr>
            <w:tcW w:type="dxa" w:w="3200"/>
            <w:vAlign w:val="top"/>
          </w:tcPr>
          <w:p>
            <w:r/>
            <w:r>
              <w:rPr>
                <w:rFonts w:ascii="Arial" w:hAnsi="Arial"/>
                <w:b w:val="0"/>
                <w:sz w:val="16"/>
              </w:rPr>
              <w:t>Biblische Polemik, Volksreligion, Inschriften und archaeologische Befunde nebeneinander lesen.</w:t>
            </w:r>
          </w:p>
        </w:tc>
        <w:tc>
          <w:tcPr>
            <w:tcW w:type="dxa" w:w="1500"/>
            <w:vAlign w:val="top"/>
          </w:tcPr>
          <w:p>
            <w:r/>
            <w:r>
              <w:rPr>
                <w:rFonts w:ascii="Arial" w:hAnsi="Arial"/>
                <w:b w:val="0"/>
                <w:sz w:val="16"/>
              </w:rPr>
              <w:t>Aschera, Baal und Hauskulte bleiben methodisch sichtbar.</w:t>
            </w:r>
          </w:p>
        </w:tc>
      </w:tr>
      <w:tr>
        <w:tc>
          <w:tcPr>
            <w:tcW w:type="dxa" w:w="1800"/>
            <w:vAlign w:val="top"/>
          </w:tcPr>
          <w:p>
            <w:r/>
            <w:r>
              <w:rPr>
                <w:rFonts w:ascii="Arial" w:hAnsi="Arial"/>
                <w:b w:val="0"/>
                <w:sz w:val="16"/>
              </w:rPr>
              <w:t>6</w:t>
            </w:r>
          </w:p>
        </w:tc>
        <w:tc>
          <w:tcPr>
            <w:tcW w:type="dxa" w:w="2500"/>
            <w:vAlign w:val="top"/>
          </w:tcPr>
          <w:p>
            <w:r/>
            <w:r>
              <w:rPr>
                <w:rFonts w:ascii="Arial" w:hAnsi="Arial"/>
                <w:b w:val="0"/>
                <w:sz w:val="16"/>
              </w:rPr>
              <w:t>Spaetere Engel-/Daemonenvorstellungen werden nicht zurueckprojiziert.</w:t>
            </w:r>
          </w:p>
        </w:tc>
        <w:tc>
          <w:tcPr>
            <w:tcW w:type="dxa" w:w="3200"/>
            <w:vAlign w:val="top"/>
          </w:tcPr>
          <w:p>
            <w:r/>
            <w:r>
              <w:rPr>
                <w:rFonts w:ascii="Arial" w:hAnsi="Arial"/>
                <w:b w:val="0"/>
                <w:sz w:val="16"/>
              </w:rPr>
              <w:t>Second Temple, 1 Henoch, Jubilaeen und DSS separat behandeln.</w:t>
            </w:r>
          </w:p>
        </w:tc>
        <w:tc>
          <w:tcPr>
            <w:tcW w:type="dxa" w:w="1500"/>
            <w:vAlign w:val="top"/>
          </w:tcPr>
          <w:p>
            <w:r/>
            <w:r>
              <w:rPr>
                <w:rFonts w:ascii="Arial" w:hAnsi="Arial"/>
                <w:b w:val="0"/>
                <w:sz w:val="16"/>
              </w:rPr>
              <w:t>Erzengel und Waechter gehoeren nicht unkritisch in die Fruehphase Israels.</w:t>
            </w:r>
          </w:p>
        </w:tc>
      </w:tr>
      <w:tr>
        <w:tc>
          <w:tcPr>
            <w:tcW w:type="dxa" w:w="1800"/>
            <w:vAlign w:val="top"/>
          </w:tcPr>
          <w:p>
            <w:r/>
            <w:r>
              <w:rPr>
                <w:rFonts w:ascii="Arial" w:hAnsi="Arial"/>
                <w:b w:val="0"/>
                <w:sz w:val="16"/>
              </w:rPr>
              <w:t>7</w:t>
            </w:r>
          </w:p>
        </w:tc>
        <w:tc>
          <w:tcPr>
            <w:tcW w:type="dxa" w:w="2500"/>
            <w:vAlign w:val="top"/>
          </w:tcPr>
          <w:p>
            <w:r/>
            <w:r>
              <w:rPr>
                <w:rFonts w:ascii="Arial" w:hAnsi="Arial"/>
                <w:b w:val="0"/>
                <w:sz w:val="16"/>
              </w:rPr>
              <w:t>Populaere Medien bleiben Impuls- oder Rezeptionsmaterial.</w:t>
            </w:r>
          </w:p>
        </w:tc>
        <w:tc>
          <w:tcPr>
            <w:tcW w:type="dxa" w:w="3200"/>
            <w:vAlign w:val="top"/>
          </w:tcPr>
          <w:p>
            <w:r/>
            <w:r>
              <w:rPr>
                <w:rFonts w:ascii="Arial" w:hAnsi="Arial"/>
                <w:b w:val="0"/>
                <w:sz w:val="16"/>
              </w:rPr>
              <w:t>YouTube, praespekulative Thesen und moderne Gleichsetzungen.</w:t>
            </w:r>
          </w:p>
        </w:tc>
        <w:tc>
          <w:tcPr>
            <w:tcW w:type="dxa" w:w="1500"/>
            <w:vAlign w:val="top"/>
          </w:tcPr>
          <w:p>
            <w:r/>
            <w:r>
              <w:rPr>
                <w:rFonts w:ascii="Arial" w:hAnsi="Arial"/>
                <w:b w:val="0"/>
                <w:sz w:val="16"/>
              </w:rPr>
              <w:t>Sie koennen Fragen anregen, aber keine antike Evidenz ersetzen.</w:t>
            </w:r>
          </w:p>
        </w:tc>
      </w:tr>
    </w:tbl>
    <w:p>
      <w:pPr>
        <w:pStyle w:val="Heading2"/>
      </w:pPr>
      <w:r>
        <w:t>6. Claim-Audit fuer Antwortkapitel</w:t>
      </w:r>
    </w:p>
    <w:p>
      <w:r>
        <w:rPr>
          <w:rFonts w:ascii="Arial" w:hAnsi="Arial"/>
        </w:rPr>
        <w:t>Fuer jedes fertigzustellende Kapitel wird ein kurzer Claim-Audit empfohlen. Dabei wird nicht nur gefragt, ob eine Quelle vorhanden ist, sondern was diese Quelle tatsaechlich beweist. Besonders wichtig ist die Unterscheidung zwischen Textbefund, religionsgeschichtlicher Rekonstruktion, theologischer Bewertung und moralisch-ethischem Urteil.</w:t>
      </w:r>
      <w:r>
        <w:footnoteReference w:id="84"/>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Auditpunkt</w:t>
            </w:r>
          </w:p>
        </w:tc>
        <w:tc>
          <w:tcPr>
            <w:tcW w:type="dxa" w:w="3300"/>
            <w:vAlign w:val="top"/>
            <w:shd w:fill="F1F3F4"/>
          </w:tcPr>
          <w:p>
            <w:r/>
            <w:r>
              <w:rPr>
                <w:rFonts w:ascii="Arial" w:hAnsi="Arial"/>
                <w:b/>
                <w:sz w:val="16"/>
              </w:rPr>
              <w:t>Pruefkriterium</w:t>
            </w:r>
          </w:p>
        </w:tc>
        <w:tc>
          <w:tcPr>
            <w:tcW w:type="dxa" w:w="3300"/>
            <w:vAlign w:val="top"/>
            <w:shd w:fill="F1F3F4"/>
          </w:tcPr>
          <w:p>
            <w:r/>
            <w:r>
              <w:rPr>
                <w:rFonts w:ascii="Arial" w:hAnsi="Arial"/>
                <w:b/>
                <w:sz w:val="16"/>
              </w:rPr>
              <w:t>Redaktionelle Folge</w:t>
            </w:r>
          </w:p>
        </w:tc>
      </w:tr>
      <w:tr>
        <w:tc>
          <w:tcPr>
            <w:tcW w:type="dxa" w:w="2400"/>
            <w:vAlign w:val="top"/>
          </w:tcPr>
          <w:p>
            <w:r/>
            <w:r>
              <w:rPr>
                <w:rFonts w:ascii="Arial" w:hAnsi="Arial"/>
                <w:b w:val="0"/>
                <w:sz w:val="16"/>
              </w:rPr>
              <w:t>Ist die Aussage direkt in einer Primaerquelle belegt?</w:t>
            </w:r>
          </w:p>
        </w:tc>
        <w:tc>
          <w:tcPr>
            <w:tcW w:type="dxa" w:w="3300"/>
            <w:vAlign w:val="top"/>
          </w:tcPr>
          <w:p>
            <w:r/>
            <w:r>
              <w:rPr>
                <w:rFonts w:ascii="Arial" w:hAnsi="Arial"/>
                <w:b w:val="0"/>
                <w:sz w:val="16"/>
              </w:rPr>
              <w:t>Textstelle, Inschrift, antiker Vergleichstext oder Handschriftenvariante vorhanden.</w:t>
            </w:r>
          </w:p>
        </w:tc>
        <w:tc>
          <w:tcPr>
            <w:tcW w:type="dxa" w:w="3300"/>
            <w:vAlign w:val="top"/>
          </w:tcPr>
          <w:p>
            <w:r/>
            <w:r>
              <w:rPr>
                <w:rFonts w:ascii="Arial" w:hAnsi="Arial"/>
                <w:b w:val="0"/>
                <w:sz w:val="16"/>
              </w:rPr>
              <w:t>Als Befund formulieren und mit genauer Stelle belegen.</w:t>
            </w:r>
          </w:p>
        </w:tc>
      </w:tr>
      <w:tr>
        <w:tc>
          <w:tcPr>
            <w:tcW w:type="dxa" w:w="2400"/>
            <w:vAlign w:val="top"/>
          </w:tcPr>
          <w:p>
            <w:r/>
            <w:r>
              <w:rPr>
                <w:rFonts w:ascii="Arial" w:hAnsi="Arial"/>
                <w:b w:val="0"/>
                <w:sz w:val="16"/>
              </w:rPr>
              <w:t>Beruht die Aussage auf Zusammenschau mehrerer Quellen?</w:t>
            </w:r>
          </w:p>
        </w:tc>
        <w:tc>
          <w:tcPr>
            <w:tcW w:type="dxa" w:w="3300"/>
            <w:vAlign w:val="top"/>
          </w:tcPr>
          <w:p>
            <w:r/>
            <w:r>
              <w:rPr>
                <w:rFonts w:ascii="Arial" w:hAnsi="Arial"/>
                <w:b w:val="0"/>
                <w:sz w:val="16"/>
              </w:rPr>
              <w:t>Mehrere unabhaengige Quellenfelder stuetzen dieselbe Richtung.</w:t>
            </w:r>
          </w:p>
        </w:tc>
        <w:tc>
          <w:tcPr>
            <w:tcW w:type="dxa" w:w="3300"/>
            <w:vAlign w:val="top"/>
          </w:tcPr>
          <w:p>
            <w:r/>
            <w:r>
              <w:rPr>
                <w:rFonts w:ascii="Arial" w:hAnsi="Arial"/>
                <w:b w:val="0"/>
                <w:sz w:val="16"/>
              </w:rPr>
              <w:t>Als Rekonstruktion formulieren, nicht als Einzelsatz-Fakt.</w:t>
            </w:r>
          </w:p>
        </w:tc>
      </w:tr>
      <w:tr>
        <w:tc>
          <w:tcPr>
            <w:tcW w:type="dxa" w:w="2400"/>
            <w:vAlign w:val="top"/>
          </w:tcPr>
          <w:p>
            <w:r/>
            <w:r>
              <w:rPr>
                <w:rFonts w:ascii="Arial" w:hAnsi="Arial"/>
                <w:b w:val="0"/>
                <w:sz w:val="16"/>
              </w:rPr>
              <w:t>Ist die Forschung geteilter Meinung?</w:t>
            </w:r>
          </w:p>
        </w:tc>
        <w:tc>
          <w:tcPr>
            <w:tcW w:type="dxa" w:w="3300"/>
            <w:vAlign w:val="top"/>
          </w:tcPr>
          <w:p>
            <w:r/>
            <w:r>
              <w:rPr>
                <w:rFonts w:ascii="Arial" w:hAnsi="Arial"/>
                <w:b w:val="0"/>
                <w:sz w:val="16"/>
              </w:rPr>
              <w:t>Mehrere serioese Positionen liegen vor.</w:t>
            </w:r>
          </w:p>
        </w:tc>
        <w:tc>
          <w:tcPr>
            <w:tcW w:type="dxa" w:w="3300"/>
            <w:vAlign w:val="top"/>
          </w:tcPr>
          <w:p>
            <w:r/>
            <w:r>
              <w:rPr>
                <w:rFonts w:ascii="Arial" w:hAnsi="Arial"/>
                <w:b w:val="0"/>
                <w:sz w:val="16"/>
              </w:rPr>
              <w:t>Pro-/Contra kurz darstellen und eigene Arbeitsposition markieren.</w:t>
            </w:r>
          </w:p>
        </w:tc>
      </w:tr>
      <w:tr>
        <w:tc>
          <w:tcPr>
            <w:tcW w:type="dxa" w:w="2400"/>
            <w:vAlign w:val="top"/>
          </w:tcPr>
          <w:p>
            <w:r/>
            <w:r>
              <w:rPr>
                <w:rFonts w:ascii="Arial" w:hAnsi="Arial"/>
                <w:b w:val="0"/>
                <w:sz w:val="16"/>
              </w:rPr>
              <w:t>Ist es eine moderne ethische Bewertung?</w:t>
            </w:r>
          </w:p>
        </w:tc>
        <w:tc>
          <w:tcPr>
            <w:tcW w:type="dxa" w:w="3300"/>
            <w:vAlign w:val="top"/>
          </w:tcPr>
          <w:p>
            <w:r/>
            <w:r>
              <w:rPr>
                <w:rFonts w:ascii="Arial" w:hAnsi="Arial"/>
                <w:b w:val="0"/>
                <w:sz w:val="16"/>
              </w:rPr>
              <w:t>Aussage urteilt ueber Gewalt, Opfer, Strafe oder Herrschaft.</w:t>
            </w:r>
          </w:p>
        </w:tc>
        <w:tc>
          <w:tcPr>
            <w:tcW w:type="dxa" w:w="3300"/>
            <w:vAlign w:val="top"/>
          </w:tcPr>
          <w:p>
            <w:r/>
            <w:r>
              <w:rPr>
                <w:rFonts w:ascii="Arial" w:hAnsi="Arial"/>
                <w:b w:val="0"/>
                <w:sz w:val="16"/>
              </w:rPr>
              <w:t>Als Bewertung kennzeichnen und von historischem Befund trennen.</w:t>
            </w:r>
          </w:p>
        </w:tc>
      </w:tr>
      <w:tr>
        <w:tc>
          <w:tcPr>
            <w:tcW w:type="dxa" w:w="2400"/>
            <w:vAlign w:val="top"/>
          </w:tcPr>
          <w:p>
            <w:r/>
            <w:r>
              <w:rPr>
                <w:rFonts w:ascii="Arial" w:hAnsi="Arial"/>
                <w:b w:val="0"/>
                <w:sz w:val="16"/>
              </w:rPr>
              <w:t>Fehlt eine Bruecke zwischen Kulturen?</w:t>
            </w:r>
          </w:p>
        </w:tc>
        <w:tc>
          <w:tcPr>
            <w:tcW w:type="dxa" w:w="3300"/>
            <w:vAlign w:val="top"/>
          </w:tcPr>
          <w:p>
            <w:r/>
            <w:r>
              <w:rPr>
                <w:rFonts w:ascii="Arial" w:hAnsi="Arial"/>
                <w:b w:val="0"/>
                <w:sz w:val="16"/>
              </w:rPr>
              <w:t>Aehnlichkeit ohne Ueberlieferungsweg, Sprachbruecke oder Kontaktbeleg.</w:t>
            </w:r>
          </w:p>
        </w:tc>
        <w:tc>
          <w:tcPr>
            <w:tcW w:type="dxa" w:w="3300"/>
            <w:vAlign w:val="top"/>
          </w:tcPr>
          <w:p>
            <w:r/>
            <w:r>
              <w:rPr>
                <w:rFonts w:ascii="Arial" w:hAnsi="Arial"/>
                <w:b w:val="0"/>
                <w:sz w:val="16"/>
              </w:rPr>
              <w:t>Nur als Vergleichsfrage, nicht als Identitaetsthese aufnehmen.</w:t>
            </w:r>
          </w:p>
        </w:tc>
      </w:tr>
    </w:tbl>
    <w:p>
      <w:pPr>
        <w:pStyle w:val="Heading2"/>
      </w:pPr>
      <w:r>
        <w:t>7. Arbeitsliteratur in Gruppen</w:t>
      </w:r>
    </w:p>
    <w:p>
      <w:r>
        <w:rPr>
          <w:rFonts w:ascii="Arial" w:hAnsi="Arial"/>
        </w:rPr>
        <w:t>Das Literaturverzeichnis der Druckfassung erscheint nicht als unsortierte Linkliste, sondern als Gliederung nach Themenfeldern. Die nachfolgende Liste bildet den normalisierten Literaturapparat V1, in den die Quellen aus den Kapiteln und Dossiers eingeordnet sind.</w:t>
      </w:r>
    </w:p>
    <w:p>
      <w:pPr>
        <w:pStyle w:val="ListBullet"/>
      </w:pPr>
      <w:r>
        <w:rPr>
          <w:rFonts w:ascii="Arial" w:hAnsi="Arial"/>
        </w:rPr>
        <w:t>Textkritik und Bibeltexte: Deuteronomium 32, Psalm 82, Genesis 6, Exodus, Levitikus, Josua, Qumran/DSS, Septuaginta.</w:t>
      </w:r>
    </w:p>
    <w:p>
      <w:pPr>
        <w:pStyle w:val="ListBullet"/>
      </w:pPr>
      <w:r>
        <w:rPr>
          <w:rFonts w:ascii="Arial" w:hAnsi="Arial"/>
        </w:rPr>
        <w:t>Fruehe israelitische Religion: Mark S. Smith, Emanuel Tov, James Anderson, Shane Thompson, Casper Andresen, K. L. Noll.</w:t>
      </w:r>
    </w:p>
    <w:p>
      <w:pPr>
        <w:pStyle w:val="ListBullet"/>
      </w:pPr>
      <w:r>
        <w:rPr>
          <w:rFonts w:ascii="Arial" w:hAnsi="Arial"/>
        </w:rPr>
        <w:t>Ugarit und westsemitischer Vergleich: Ugaritische Texteditionen, Baal-Zyklus, El/Athirat/Baal-Forschung.</w:t>
      </w:r>
    </w:p>
    <w:p>
      <w:pPr>
        <w:pStyle w:val="ListBullet"/>
      </w:pPr>
      <w:r>
        <w:rPr>
          <w:rFonts w:ascii="Arial" w:hAnsi="Arial"/>
        </w:rPr>
        <w:t>Aschera und Inschriften: Kuntillet Ajrud, Khirbet el-Qom, Schniedewind, Hadley, Olyan, Zevit, Binger, Jun Kim.</w:t>
      </w:r>
    </w:p>
    <w:p>
      <w:pPr>
        <w:pStyle w:val="ListBullet"/>
      </w:pPr>
      <w:r>
        <w:rPr>
          <w:rFonts w:ascii="Arial" w:hAnsi="Arial"/>
        </w:rPr>
        <w:t>Baal/Hadad und Funktionsuebernahme: Stahl, Toyraanvuori, ORACC, Encyclopedia.com, Smith.</w:t>
      </w:r>
    </w:p>
    <w:p>
      <w:pPr>
        <w:pStyle w:val="ListBullet"/>
      </w:pPr>
      <w:r>
        <w:rPr>
          <w:rFonts w:ascii="Arial" w:hAnsi="Arial"/>
        </w:rPr>
        <w:t>Second Temple, Engel und Daemonen: Reed, Nickelsburg, Reynolds, Patmore, Tronina, DSS/War Scroll.</w:t>
      </w:r>
    </w:p>
    <w:p>
      <w:pPr>
        <w:pStyle w:val="ListBullet"/>
      </w:pPr>
      <w:r>
        <w:rPr>
          <w:rFonts w:ascii="Arial" w:hAnsi="Arial"/>
        </w:rPr>
        <w:t>Anunnaki und Mesopotamien: ORACC, Enuma Elish, An/Anu, Anunna/Anunnaki, Marduk-Namen.</w:t>
      </w:r>
    </w:p>
    <w:p>
      <w:pPr>
        <w:pStyle w:val="ListBullet"/>
      </w:pPr>
      <w:r>
        <w:rPr>
          <w:rFonts w:ascii="Arial" w:hAnsi="Arial"/>
        </w:rPr>
        <w:t>Gewalt, Opfer und Gericht: Firestone, Luelik, Botha, Levine, Satlow, Smelik, Levenson, Seri-Levi.</w:t>
      </w:r>
    </w:p>
    <w:p>
      <w:pPr>
        <w:pStyle w:val="ListBullet"/>
      </w:pPr>
      <w:r>
        <w:rPr>
          <w:rFonts w:ascii="Arial" w:hAnsi="Arial"/>
        </w:rPr>
        <w:t>Arbeitsdokumente und Anlagen: Anlagen A-N, lokale Quellenregister, Forschungsplan und Syntheseauswertungen.</w:t>
      </w:r>
    </w:p>
    <w:p>
      <w:r>
        <w:br w:type="page"/>
      </w:r>
    </w:p>
    <w:p>
      <w:pPr>
        <w:pStyle w:val="Heading2"/>
      </w:pPr>
      <w:r>
        <w:t>8. Endredaktions-Workflow und Status V1</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Nr.</w:t>
            </w:r>
          </w:p>
        </w:tc>
        <w:tc>
          <w:tcPr>
            <w:tcW w:type="dxa" w:w="2500"/>
            <w:vAlign w:val="top"/>
            <w:shd w:fill="F1F3F4"/>
          </w:tcPr>
          <w:p>
            <w:r/>
            <w:r>
              <w:rPr>
                <w:rFonts w:ascii="Arial" w:hAnsi="Arial"/>
                <w:b/>
                <w:sz w:val="16"/>
              </w:rPr>
              <w:t>Arbeitsschritt</w:t>
            </w:r>
          </w:p>
        </w:tc>
        <w:tc>
          <w:tcPr>
            <w:tcW w:type="dxa" w:w="3200"/>
            <w:vAlign w:val="top"/>
            <w:shd w:fill="F1F3F4"/>
          </w:tcPr>
          <w:p>
            <w:r/>
            <w:r>
              <w:rPr>
                <w:rFonts w:ascii="Arial" w:hAnsi="Arial"/>
                <w:b/>
                <w:sz w:val="16"/>
              </w:rPr>
              <w:t>Ziel</w:t>
            </w:r>
          </w:p>
        </w:tc>
        <w:tc>
          <w:tcPr>
            <w:tcW w:type="dxa" w:w="1500"/>
            <w:vAlign w:val="top"/>
            <w:shd w:fill="F1F3F4"/>
          </w:tcPr>
          <w:p>
            <w:r/>
            <w:r>
              <w:rPr>
                <w:rFonts w:ascii="Arial" w:hAnsi="Arial"/>
                <w:b/>
                <w:sz w:val="16"/>
              </w:rPr>
              <w:t>Verbindlicher Status</w:t>
            </w:r>
          </w:p>
        </w:tc>
      </w:tr>
      <w:tr>
        <w:tc>
          <w:tcPr>
            <w:tcW w:type="dxa" w:w="1800"/>
            <w:vAlign w:val="top"/>
          </w:tcPr>
          <w:p>
            <w:r/>
            <w:r>
              <w:rPr>
                <w:rFonts w:ascii="Arial" w:hAnsi="Arial"/>
                <w:b w:val="0"/>
                <w:sz w:val="16"/>
              </w:rPr>
              <w:t>1</w:t>
            </w:r>
          </w:p>
        </w:tc>
        <w:tc>
          <w:tcPr>
            <w:tcW w:type="dxa" w:w="2500"/>
            <w:vAlign w:val="top"/>
          </w:tcPr>
          <w:p>
            <w:r/>
            <w:r>
              <w:rPr>
                <w:rFonts w:ascii="Arial" w:hAnsi="Arial"/>
                <w:b w:val="0"/>
                <w:sz w:val="16"/>
              </w:rPr>
              <w:t>Claim-Audit</w:t>
            </w:r>
          </w:p>
        </w:tc>
        <w:tc>
          <w:tcPr>
            <w:tcW w:type="dxa" w:w="3200"/>
            <w:vAlign w:val="top"/>
          </w:tcPr>
          <w:p>
            <w:r/>
            <w:r>
              <w:rPr>
                <w:rFonts w:ascii="Arial" w:hAnsi="Arial"/>
                <w:b w:val="0"/>
                <w:sz w:val="16"/>
              </w:rPr>
              <w:t>Alle zentralen Aussagen anhand der Auditfragen pruefen.</w:t>
            </w:r>
          </w:p>
        </w:tc>
        <w:tc>
          <w:tcPr>
            <w:tcW w:type="dxa" w:w="1500"/>
            <w:vAlign w:val="top"/>
          </w:tcPr>
          <w:p>
            <w:r/>
            <w:r>
              <w:rPr>
                <w:rFonts w:ascii="Arial" w:hAnsi="Arial"/>
                <w:b w:val="0"/>
                <w:sz w:val="16"/>
              </w:rPr>
              <w:t>Fuer jedes Antwortkapitel vor Status 'fertig' erforderlich.</w:t>
            </w:r>
          </w:p>
        </w:tc>
      </w:tr>
      <w:tr>
        <w:tc>
          <w:tcPr>
            <w:tcW w:type="dxa" w:w="1800"/>
            <w:vAlign w:val="top"/>
          </w:tcPr>
          <w:p>
            <w:r/>
            <w:r>
              <w:rPr>
                <w:rFonts w:ascii="Arial" w:hAnsi="Arial"/>
                <w:b w:val="0"/>
                <w:sz w:val="16"/>
              </w:rPr>
              <w:t>2</w:t>
            </w:r>
          </w:p>
        </w:tc>
        <w:tc>
          <w:tcPr>
            <w:tcW w:type="dxa" w:w="2500"/>
            <w:vAlign w:val="top"/>
          </w:tcPr>
          <w:p>
            <w:r/>
            <w:r>
              <w:rPr>
                <w:rFonts w:ascii="Arial" w:hAnsi="Arial"/>
                <w:b w:val="0"/>
                <w:sz w:val="16"/>
              </w:rPr>
              <w:t>Beleggrad setzen</w:t>
            </w:r>
          </w:p>
        </w:tc>
        <w:tc>
          <w:tcPr>
            <w:tcW w:type="dxa" w:w="3200"/>
            <w:vAlign w:val="top"/>
          </w:tcPr>
          <w:p>
            <w:r/>
            <w:r>
              <w:rPr>
                <w:rFonts w:ascii="Arial" w:hAnsi="Arial"/>
                <w:b w:val="0"/>
                <w:sz w:val="16"/>
              </w:rPr>
              <w:t>Belegt, stark plausibel, plausibel/strittig, nicht belegt, spekulativ oder Werturteil markieren.</w:t>
            </w:r>
          </w:p>
        </w:tc>
        <w:tc>
          <w:tcPr>
            <w:tcW w:type="dxa" w:w="1500"/>
            <w:vAlign w:val="top"/>
          </w:tcPr>
          <w:p>
            <w:r/>
            <w:r>
              <w:rPr>
                <w:rFonts w:ascii="Arial" w:hAnsi="Arial"/>
                <w:b w:val="0"/>
                <w:sz w:val="16"/>
              </w:rPr>
              <w:t>Direkt in Thesenmatrix und Kapitelabschluss uebernehmen.</w:t>
            </w:r>
          </w:p>
        </w:tc>
      </w:tr>
      <w:tr>
        <w:tc>
          <w:tcPr>
            <w:tcW w:type="dxa" w:w="1800"/>
            <w:vAlign w:val="top"/>
          </w:tcPr>
          <w:p>
            <w:r/>
            <w:r>
              <w:rPr>
                <w:rFonts w:ascii="Arial" w:hAnsi="Arial"/>
                <w:b w:val="0"/>
                <w:sz w:val="16"/>
              </w:rPr>
              <w:t>3</w:t>
            </w:r>
          </w:p>
        </w:tc>
        <w:tc>
          <w:tcPr>
            <w:tcW w:type="dxa" w:w="2500"/>
            <w:vAlign w:val="top"/>
          </w:tcPr>
          <w:p>
            <w:r/>
            <w:r>
              <w:rPr>
                <w:rFonts w:ascii="Arial" w:hAnsi="Arial"/>
                <w:b w:val="0"/>
                <w:sz w:val="16"/>
              </w:rPr>
              <w:t>Fussnoten validieren</w:t>
            </w:r>
          </w:p>
        </w:tc>
        <w:tc>
          <w:tcPr>
            <w:tcW w:type="dxa" w:w="3200"/>
            <w:vAlign w:val="top"/>
          </w:tcPr>
          <w:p>
            <w:r/>
            <w:r>
              <w:rPr>
                <w:rFonts w:ascii="Arial" w:hAnsi="Arial"/>
                <w:b w:val="0"/>
                <w:sz w:val="16"/>
              </w:rPr>
              <w:t>Primaertext, Textvariante, Fachliteratur, Seitenzahl/DOI/URL nach Quellenebene pruefen.</w:t>
            </w:r>
          </w:p>
        </w:tc>
        <w:tc>
          <w:tcPr>
            <w:tcW w:type="dxa" w:w="1500"/>
            <w:vAlign w:val="top"/>
          </w:tcPr>
          <w:p>
            <w:r/>
            <w:r>
              <w:rPr>
                <w:rFonts w:ascii="Arial" w:hAnsi="Arial"/>
                <w:b w:val="0"/>
                <w:sz w:val="16"/>
              </w:rPr>
              <w:t>Kapitel 1-14 und Anlage N sind technisch gesetzt und quellenlogisch kontrolliert.</w:t>
            </w:r>
          </w:p>
        </w:tc>
      </w:tr>
      <w:tr>
        <w:tc>
          <w:tcPr>
            <w:tcW w:type="dxa" w:w="1800"/>
            <w:vAlign w:val="top"/>
          </w:tcPr>
          <w:p>
            <w:r/>
            <w:r>
              <w:rPr>
                <w:rFonts w:ascii="Arial" w:hAnsi="Arial"/>
                <w:b w:val="0"/>
                <w:sz w:val="16"/>
              </w:rPr>
              <w:t>4</w:t>
            </w:r>
          </w:p>
        </w:tc>
        <w:tc>
          <w:tcPr>
            <w:tcW w:type="dxa" w:w="2500"/>
            <w:vAlign w:val="top"/>
          </w:tcPr>
          <w:p>
            <w:r/>
            <w:r>
              <w:rPr>
                <w:rFonts w:ascii="Arial" w:hAnsi="Arial"/>
                <w:b w:val="0"/>
                <w:sz w:val="16"/>
              </w:rPr>
              <w:t>Literaturverzeichnis erstellen</w:t>
            </w:r>
          </w:p>
        </w:tc>
        <w:tc>
          <w:tcPr>
            <w:tcW w:type="dxa" w:w="3200"/>
            <w:vAlign w:val="top"/>
          </w:tcPr>
          <w:p>
            <w:r/>
            <w:r>
              <w:rPr>
                <w:rFonts w:ascii="Arial" w:hAnsi="Arial"/>
                <w:b w:val="0"/>
                <w:sz w:val="16"/>
              </w:rPr>
              <w:t>Alle Kapitelquellen vereinheitlichen, DOI/URL/Abrufdatum soweit verfuegbar ergaenzen.</w:t>
            </w:r>
          </w:p>
        </w:tc>
        <w:tc>
          <w:tcPr>
            <w:tcW w:type="dxa" w:w="1500"/>
            <w:vAlign w:val="top"/>
          </w:tcPr>
          <w:p>
            <w:r/>
            <w:r>
              <w:rPr>
                <w:rFonts w:ascii="Arial" w:hAnsi="Arial"/>
                <w:b w:val="0"/>
                <w:sz w:val="16"/>
              </w:rPr>
              <w:t>Thematische Bibliographie V1 erstellt.</w:t>
            </w:r>
          </w:p>
        </w:tc>
      </w:tr>
      <w:tr>
        <w:tc>
          <w:tcPr>
            <w:tcW w:type="dxa" w:w="1800"/>
            <w:vAlign w:val="top"/>
          </w:tcPr>
          <w:p>
            <w:r/>
            <w:r>
              <w:rPr>
                <w:rFonts w:ascii="Arial" w:hAnsi="Arial"/>
                <w:b w:val="0"/>
                <w:sz w:val="16"/>
              </w:rPr>
              <w:t>5</w:t>
            </w:r>
          </w:p>
        </w:tc>
        <w:tc>
          <w:tcPr>
            <w:tcW w:type="dxa" w:w="2500"/>
            <w:vAlign w:val="top"/>
          </w:tcPr>
          <w:p>
            <w:r/>
            <w:r>
              <w:rPr>
                <w:rFonts w:ascii="Arial" w:hAnsi="Arial"/>
                <w:b w:val="0"/>
                <w:sz w:val="16"/>
              </w:rPr>
              <w:t>Begriffe normalisieren</w:t>
            </w:r>
          </w:p>
        </w:tc>
        <w:tc>
          <w:tcPr>
            <w:tcW w:type="dxa" w:w="3200"/>
            <w:vAlign w:val="top"/>
          </w:tcPr>
          <w:p>
            <w:r/>
            <w:r>
              <w:rPr>
                <w:rFonts w:ascii="Arial" w:hAnsi="Arial"/>
                <w:b w:val="0"/>
                <w:sz w:val="16"/>
              </w:rPr>
              <w:t>El, Elohim, JHWH, Elyon, Baal, Hadad, Aschera, Anunnaki, Nephilim, Waechter.</w:t>
            </w:r>
          </w:p>
        </w:tc>
        <w:tc>
          <w:tcPr>
            <w:tcW w:type="dxa" w:w="1500"/>
            <w:vAlign w:val="top"/>
          </w:tcPr>
          <w:p>
            <w:r/>
            <w:r>
              <w:rPr>
                <w:rFonts w:ascii="Arial" w:hAnsi="Arial"/>
                <w:b w:val="0"/>
                <w:sz w:val="16"/>
              </w:rPr>
              <w:t>Begriffsliste als eigenes Redaktionskapitel fuehren.</w:t>
            </w:r>
          </w:p>
        </w:tc>
      </w:tr>
      <w:tr>
        <w:tc>
          <w:tcPr>
            <w:tcW w:type="dxa" w:w="1800"/>
            <w:vAlign w:val="top"/>
          </w:tcPr>
          <w:p>
            <w:r/>
            <w:r>
              <w:rPr>
                <w:rFonts w:ascii="Arial" w:hAnsi="Arial"/>
                <w:b w:val="0"/>
                <w:sz w:val="16"/>
              </w:rPr>
              <w:t>6</w:t>
            </w:r>
          </w:p>
        </w:tc>
        <w:tc>
          <w:tcPr>
            <w:tcW w:type="dxa" w:w="2500"/>
            <w:vAlign w:val="top"/>
          </w:tcPr>
          <w:p>
            <w:r/>
            <w:r>
              <w:rPr>
                <w:rFonts w:ascii="Arial" w:hAnsi="Arial"/>
                <w:b w:val="0"/>
                <w:sz w:val="16"/>
              </w:rPr>
              <w:t>Dopplungen reduzieren</w:t>
            </w:r>
          </w:p>
        </w:tc>
        <w:tc>
          <w:tcPr>
            <w:tcW w:type="dxa" w:w="3200"/>
            <w:vAlign w:val="top"/>
          </w:tcPr>
          <w:p>
            <w:r/>
            <w:r>
              <w:rPr>
                <w:rFonts w:ascii="Arial" w:hAnsi="Arial"/>
                <w:b w:val="0"/>
                <w:sz w:val="16"/>
              </w:rPr>
              <w:t>Alten Hauptteil, Synthesen und Anlagen nicht mehrfach wiederholen.</w:t>
            </w:r>
          </w:p>
        </w:tc>
        <w:tc>
          <w:tcPr>
            <w:tcW w:type="dxa" w:w="1500"/>
            <w:vAlign w:val="top"/>
          </w:tcPr>
          <w:p>
            <w:r/>
            <w:r>
              <w:rPr>
                <w:rFonts w:ascii="Arial" w:hAnsi="Arial"/>
                <w:b w:val="0"/>
                <w:sz w:val="16"/>
              </w:rPr>
              <w:t>Anlagen bleiben Nachweisraum, Hauptteil liefert Argument.</w:t>
            </w:r>
          </w:p>
        </w:tc>
      </w:tr>
      <w:tr>
        <w:tc>
          <w:tcPr>
            <w:tcW w:type="dxa" w:w="1800"/>
            <w:vAlign w:val="top"/>
          </w:tcPr>
          <w:p>
            <w:r/>
            <w:r>
              <w:rPr>
                <w:rFonts w:ascii="Arial" w:hAnsi="Arial"/>
                <w:b w:val="0"/>
                <w:sz w:val="16"/>
              </w:rPr>
              <w:t>7</w:t>
            </w:r>
          </w:p>
        </w:tc>
        <w:tc>
          <w:tcPr>
            <w:tcW w:type="dxa" w:w="2500"/>
            <w:vAlign w:val="top"/>
          </w:tcPr>
          <w:p>
            <w:r/>
            <w:r>
              <w:rPr>
                <w:rFonts w:ascii="Arial" w:hAnsi="Arial"/>
                <w:b w:val="0"/>
                <w:sz w:val="16"/>
              </w:rPr>
              <w:t>Schlussbewertung schaerfen</w:t>
            </w:r>
          </w:p>
        </w:tc>
        <w:tc>
          <w:tcPr>
            <w:tcW w:type="dxa" w:w="3200"/>
            <w:vAlign w:val="top"/>
          </w:tcPr>
          <w:p>
            <w:r/>
            <w:r>
              <w:rPr>
                <w:rFonts w:ascii="Arial" w:hAnsi="Arial"/>
                <w:b w:val="0"/>
                <w:sz w:val="16"/>
              </w:rPr>
              <w:t>Identitaetsthese, Transformationsthese und Gegenargumente nebeneinanderstellen.</w:t>
            </w:r>
          </w:p>
        </w:tc>
        <w:tc>
          <w:tcPr>
            <w:tcW w:type="dxa" w:w="1500"/>
            <w:vAlign w:val="top"/>
          </w:tcPr>
          <w:p>
            <w:r/>
            <w:r>
              <w:rPr>
                <w:rFonts w:ascii="Arial" w:hAnsi="Arial"/>
                <w:b w:val="0"/>
                <w:sz w:val="16"/>
              </w:rPr>
              <w:t>In Kapitel 9, 11 und Endvalidierung V1 umgesetzt.</w:t>
            </w:r>
          </w:p>
        </w:tc>
      </w:tr>
      <w:tr>
        <w:tc>
          <w:tcPr>
            <w:tcW w:type="dxa" w:w="1800"/>
            <w:vAlign w:val="top"/>
          </w:tcPr>
          <w:p>
            <w:r/>
            <w:r>
              <w:rPr>
                <w:rFonts w:ascii="Arial" w:hAnsi="Arial"/>
                <w:b w:val="0"/>
                <w:sz w:val="16"/>
              </w:rPr>
              <w:t>8</w:t>
            </w:r>
          </w:p>
        </w:tc>
        <w:tc>
          <w:tcPr>
            <w:tcW w:type="dxa" w:w="2500"/>
            <w:vAlign w:val="top"/>
          </w:tcPr>
          <w:p>
            <w:r/>
            <w:r>
              <w:rPr>
                <w:rFonts w:ascii="Arial" w:hAnsi="Arial"/>
                <w:b w:val="0"/>
                <w:sz w:val="16"/>
              </w:rPr>
              <w:t>Layout-Endkontrolle</w:t>
            </w:r>
          </w:p>
        </w:tc>
        <w:tc>
          <w:tcPr>
            <w:tcW w:type="dxa" w:w="3200"/>
            <w:vAlign w:val="top"/>
          </w:tcPr>
          <w:p>
            <w:r/>
            <w:r>
              <w:rPr>
                <w:rFonts w:ascii="Arial" w:hAnsi="Arial"/>
                <w:b w:val="0"/>
                <w:sz w:val="16"/>
              </w:rPr>
              <w:t>Inhaltsverzeichnis, Tabellenbreiten, Seitenumbrueche und Fussnoten rendern.</w:t>
            </w:r>
          </w:p>
        </w:tc>
        <w:tc>
          <w:tcPr>
            <w:tcW w:type="dxa" w:w="1500"/>
            <w:vAlign w:val="top"/>
          </w:tcPr>
          <w:p>
            <w:r/>
            <w:r>
              <w:rPr>
                <w:rFonts w:ascii="Arial" w:hAnsi="Arial"/>
                <w:b w:val="0"/>
                <w:sz w:val="16"/>
              </w:rPr>
              <w:t>PDF-Renderlauf und PNG-Sichtpruefung fuer die Endfassung durchgefuehrt.</w:t>
            </w:r>
          </w:p>
        </w:tc>
      </w:tr>
    </w:tbl>
    <w:p>
      <w:pPr>
        <w:pStyle w:val="Heading2"/>
      </w:pPr>
      <w:r>
        <w:t>9. Ergebnis und Kapitelstatus</w:t>
      </w:r>
    </w:p>
    <w:p>
      <w:r>
        <w:rPr>
          <w:rFonts w:ascii="Arial" w:hAnsi="Arial"/>
        </w:rPr>
        <w:t>Kapitel 10 liegt als druckreifer Redaktionsrahmen V1 vor. Es legt verbindlich fest, wie die Forschungsfassung in eine wissenschaftliche Druckfassung ueberfuehrt wurde: mit einheitlicher Zitierform, Quellenhierarchie, Beleggraden, Claim-Audit, Literaturgruppen und dokumentiertem Endredaktions-Workflow. Jede Antwortthese wird als Befund, Rekonstruktion, Streitposition, nicht belegte These, Spekulation oder Werturteil markiert. Damit ist die formale Grundlage fuer Literaturverzeichnis, Schlussbewertung und Fussnotenapparat gesetzt.</w:t>
      </w:r>
    </w:p>
    <w:p>
      <w:pPr>
        <w:pStyle w:val="Heading2"/>
      </w:pPr>
      <w:r>
        <w:t>10. Druckreifepruefung Kapitel 10</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Redaktionsrahmen festgelegt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Zitierform, Quellenhierarchie, Beleggrade und Workflow sind verbindlich definiert.</w:t>
            </w:r>
          </w:p>
        </w:tc>
      </w:tr>
      <w:tr>
        <w:tc>
          <w:tcPr>
            <w:tcW w:type="dxa" w:w="2400"/>
            <w:vAlign w:val="top"/>
          </w:tcPr>
          <w:p>
            <w:r/>
            <w:r>
              <w:rPr>
                <w:rFonts w:ascii="Arial" w:hAnsi="Arial"/>
                <w:b w:val="0"/>
                <w:sz w:val="16"/>
              </w:rPr>
              <w:t>Quellenarten getrennt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Primaertexte, Inschriften, Fachliteratur, Onlinequellen, Arbeitsnotizen und populare Impulse werden getrennt.</w:t>
            </w:r>
          </w:p>
        </w:tc>
      </w:tr>
      <w:tr>
        <w:tc>
          <w:tcPr>
            <w:tcW w:type="dxa" w:w="2400"/>
            <w:vAlign w:val="top"/>
          </w:tcPr>
          <w:p>
            <w:r/>
            <w:r>
              <w:rPr>
                <w:rFonts w:ascii="Arial" w:hAnsi="Arial"/>
                <w:b w:val="0"/>
                <w:sz w:val="16"/>
              </w:rPr>
              <w:t>Sprachregeln gesetzt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Befund, Rekonstruktion, Streitposition, Spekulation und Werturteil muessen unterscheidbar bleiben.</w:t>
            </w:r>
          </w:p>
        </w:tc>
      </w:tr>
      <w:tr>
        <w:tc>
          <w:tcPr>
            <w:tcW w:type="dxa" w:w="2400"/>
            <w:vAlign w:val="top"/>
          </w:tcPr>
          <w:p>
            <w:r/>
            <w:r>
              <w:rPr>
                <w:rFonts w:ascii="Arial" w:hAnsi="Arial"/>
                <w:b w:val="0"/>
                <w:sz w:val="16"/>
              </w:rPr>
              <w:t>Endfassungsnutzen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Kapitel 10 dient als Kontrollnorm fuer die weitere Druckfassung.</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Persoenliche Arbeitsformulierungen wurden neutralisiert.</w:t>
            </w:r>
          </w:p>
        </w:tc>
      </w:tr>
    </w:tbl>
    <w:p>
      <w:r>
        <w:br w:type="page"/>
      </w:r>
    </w:p>
    <w:p>
      <w:pPr>
        <w:pStyle w:val="Heading1"/>
      </w:pPr>
      <w:r>
        <w:t>Kapitel 11: Endfassungsgrundlage - Literaturverzeichnis und Schlussbewertung</w:t>
      </w:r>
    </w:p>
    <w:p>
      <w:r>
        <w:rPr>
          <w:rFonts w:ascii="Arial" w:hAnsi="Arial"/>
        </w:rPr>
        <w:t>Leitfrage: Welche Fassung der bisherigen Forschung kann nun als vorlaeufige wissenschaftliche Endgrundlage dienen? Dieses Kapitel fasst die Arbeit nicht erneut inhaltlich ausfuehrlich zusammen, sondern stellt drei Bausteine bereit: ein Literaturverzeichnis V1, ein Schlusskapitel V1 und einen konkreten Plan fuer echte Fussnoten/Endnoten. Damit liegt eine prueffaehige Grundlage vor, aus der eine formale wissenschaftliche Endfassung erstellt werden kann.</w:t>
      </w:r>
      <w:r>
        <w:footnoteReference w:id="85"/>
      </w:r>
    </w:p>
    <w:p>
      <w:pPr>
        <w:pStyle w:val="Heading2"/>
      </w:pPr>
      <w:r>
        <w:t>1. Vorlaeufiges Literaturverzeichnis V1</w:t>
      </w:r>
    </w:p>
    <w:p>
      <w:r>
        <w:rPr>
          <w:rFonts w:ascii="Arial" w:hAnsi="Arial"/>
        </w:rPr>
        <w:t>Das folgende Literaturverzeichnis ist fuer die Druckfassung V1 thematisch gruppiert und bibliographisch normalisiert. Es dient als Arbeitsapparat und als prueffaehiger Literaturanhang. Punktgenaue Seiten- oder Textnummern koennen bei einer spaeteren formalen Hochschul- oder Verlagsfassung nach einem vorgegebenen Zitierstil weiter verdichtet werden.</w:t>
      </w:r>
    </w:p>
    <w:p>
      <w:pPr>
        <w:pStyle w:val="Heading3"/>
      </w:pPr>
      <w:r>
        <w:t>1.1 Textkritik, Bibeltexte und goettlicher Rat</w:t>
      </w:r>
    </w:p>
    <w:p>
      <w:pPr>
        <w:pStyle w:val="ListBullet"/>
      </w:pPr>
      <w:r>
        <w:rPr>
          <w:rFonts w:ascii="Arial" w:hAnsi="Arial"/>
        </w:rPr>
        <w:t>Tov, Emanuel. Textual Criticism of the Hebrew Bible. Fuer Dtn 32,8-9, MT, DSS und LXX als textkritischen Grundrahmen.</w:t>
      </w:r>
    </w:p>
    <w:p>
      <w:pPr>
        <w:pStyle w:val="ListBullet"/>
      </w:pPr>
      <w:r>
        <w:rPr>
          <w:rFonts w:ascii="Arial" w:hAnsi="Arial"/>
        </w:rPr>
        <w:t>Hendel, Ronald. Arbeiten zu Deuteronomium 32 und den 'sons of God' als aelterer Lesart.</w:t>
      </w:r>
    </w:p>
    <w:p>
      <w:pPr>
        <w:pStyle w:val="ListBullet"/>
      </w:pPr>
      <w:r>
        <w:rPr>
          <w:rFonts w:ascii="Arial" w:hAnsi="Arial"/>
        </w:rPr>
        <w:t>Heiser, Michael S. 'Deuteronomy 32:8 and the Sons of God', Bibliotheca Sacra 158, 2001.</w:t>
      </w:r>
    </w:p>
    <w:p>
      <w:pPr>
        <w:pStyle w:val="ListBullet"/>
      </w:pPr>
      <w:r>
        <w:rPr>
          <w:rFonts w:ascii="Arial" w:hAnsi="Arial"/>
        </w:rPr>
        <w:t>McClellan, Daniel O. 'Psalm 82 as Myth and Liturgy', Journal of Biblical Literature 134/4, 2015.</w:t>
      </w:r>
    </w:p>
    <w:p>
      <w:pPr>
        <w:pStyle w:val="ListBullet"/>
      </w:pPr>
      <w:r>
        <w:rPr>
          <w:rFonts w:ascii="Arial" w:hAnsi="Arial"/>
        </w:rPr>
        <w:t>Thompson, Shane M. 'Local Manifestations of YHWH within El's Divine Council: Psalm 82 in the Context of Israelite Religion', Journal of Biblical Literature 143/2, 2024.</w:t>
      </w:r>
    </w:p>
    <w:p>
      <w:pPr>
        <w:pStyle w:val="ListBullet"/>
      </w:pPr>
      <w:r>
        <w:rPr>
          <w:rFonts w:ascii="Arial" w:hAnsi="Arial"/>
        </w:rPr>
        <w:t>Andresen, Casper Lindblad. 'In the Council of Gods: Ethical Accountability and Divine Legitimacy in Psalm 82', Scandinavian Journal of the Old Testament, 2026.</w:t>
      </w:r>
    </w:p>
    <w:p>
      <w:pPr>
        <w:pStyle w:val="Heading3"/>
      </w:pPr>
      <w:r>
        <w:t>1.2 Fruehe israelitische Religion, El/JHWH und Monotheismus</w:t>
      </w:r>
    </w:p>
    <w:p>
      <w:pPr>
        <w:pStyle w:val="ListBullet"/>
      </w:pPr>
      <w:r>
        <w:rPr>
          <w:rFonts w:ascii="Arial" w:hAnsi="Arial"/>
        </w:rPr>
        <w:t>Smith, Mark S. The Early History of God: Yahweh and the Other Deities in Ancient Israel. 2. Auflage, Eerdmans, 2002.</w:t>
      </w:r>
    </w:p>
    <w:p>
      <w:pPr>
        <w:pStyle w:val="ListBullet"/>
      </w:pPr>
      <w:r>
        <w:rPr>
          <w:rFonts w:ascii="Arial" w:hAnsi="Arial"/>
        </w:rPr>
        <w:t>Smith, Mark S. The Origins of Biblical Monotheism: Israel's Polytheistic Background and the Ugaritic Texts. Oxford University Press, 2001.</w:t>
      </w:r>
    </w:p>
    <w:p>
      <w:pPr>
        <w:pStyle w:val="ListBullet"/>
      </w:pPr>
      <w:r>
        <w:rPr>
          <w:rFonts w:ascii="Arial" w:hAnsi="Arial"/>
        </w:rPr>
        <w:t>Anderson, James S. 'El, Yahweh, and Elohim: The Evolution of God in Israel and its Theological Implications', Expository Times 128/6, 2017.</w:t>
      </w:r>
    </w:p>
    <w:p>
      <w:pPr>
        <w:pStyle w:val="ListBullet"/>
      </w:pPr>
      <w:r>
        <w:rPr>
          <w:rFonts w:ascii="Arial" w:hAnsi="Arial"/>
        </w:rPr>
        <w:t>Noll, K. L. Arbeiten zur fruehen israelitischen Religion und zur Entwicklung von El/JHWH.</w:t>
      </w:r>
    </w:p>
    <w:p>
      <w:pPr>
        <w:pStyle w:val="ListBullet"/>
      </w:pPr>
      <w:r>
        <w:rPr>
          <w:rFonts w:ascii="Arial" w:hAnsi="Arial"/>
        </w:rPr>
        <w:t>Faust, Avraham. Arbeiten zur Ethnogenese Israels und Hochlandgesellschaft.</w:t>
      </w:r>
    </w:p>
    <w:p>
      <w:pPr>
        <w:pStyle w:val="ListBullet"/>
      </w:pPr>
      <w:r>
        <w:rPr>
          <w:rFonts w:ascii="Arial" w:hAnsi="Arial"/>
        </w:rPr>
        <w:t>Hasel, Michael G. Arbeiten zur Merenptah-Stele und zur fruehen Israel-Erwaehnung.</w:t>
      </w:r>
    </w:p>
    <w:p>
      <w:pPr>
        <w:pStyle w:val="ListBullet"/>
      </w:pPr>
      <w:r>
        <w:rPr>
          <w:rFonts w:ascii="Arial" w:hAnsi="Arial"/>
        </w:rPr>
        <w:t>Gadot, Yuval. Arbeiten zu Hochland, Urbanitaet und Eisenzeit-I-Siedlungen.</w:t>
      </w:r>
    </w:p>
    <w:p>
      <w:pPr>
        <w:pStyle w:val="Heading3"/>
      </w:pPr>
      <w:r>
        <w:t>1.3 Ugarit, Baal/Hadad und westsemitischer Vergleich</w:t>
      </w:r>
    </w:p>
    <w:p>
      <w:pPr>
        <w:pStyle w:val="ListBullet"/>
      </w:pPr>
      <w:r>
        <w:rPr>
          <w:rFonts w:ascii="Arial" w:hAnsi="Arial"/>
        </w:rPr>
        <w:t>Smith, Mark S., und Wayne T. Pitard. The Ugaritic Baal Cycle. Brill.</w:t>
      </w:r>
    </w:p>
    <w:p>
      <w:pPr>
        <w:pStyle w:val="ListBullet"/>
      </w:pPr>
      <w:r>
        <w:rPr>
          <w:rFonts w:ascii="Arial" w:hAnsi="Arial"/>
        </w:rPr>
        <w:t>Wyatt, Nicolas. Religious Texts from Ugarit. Fuer El, Athirat, Baal, Yam, Mot und goettlichen Rat.</w:t>
      </w:r>
    </w:p>
    <w:p>
      <w:pPr>
        <w:pStyle w:val="ListBullet"/>
      </w:pPr>
      <w:r>
        <w:rPr>
          <w:rFonts w:ascii="Arial" w:hAnsi="Arial"/>
        </w:rPr>
        <w:t>Toyraanvuori, Joanna. 'Psalm 29 and Methodological Triangulation', Biblische Notizen 186, 2020.</w:t>
      </w:r>
    </w:p>
    <w:p>
      <w:pPr>
        <w:pStyle w:val="ListBullet"/>
      </w:pPr>
      <w:r>
        <w:rPr>
          <w:rFonts w:ascii="Arial" w:hAnsi="Arial"/>
        </w:rPr>
        <w:t>Stahl, Michael J. 'God's Best Frenemy: A New Perspective on YHWH and Baal in Ancient Israel and Judah', Semitica 63, 2021.</w:t>
      </w:r>
    </w:p>
    <w:p>
      <w:pPr>
        <w:pStyle w:val="ListBullet"/>
      </w:pPr>
      <w:r>
        <w:rPr>
          <w:rFonts w:ascii="Arial" w:hAnsi="Arial"/>
        </w:rPr>
        <w:t>ORACC, Ancient Mesopotamian Gods and Goddesses: Ishkur/Adad; An/Anu; Anunna/Anunnaki.</w:t>
      </w:r>
    </w:p>
    <w:p>
      <w:pPr>
        <w:pStyle w:val="ListBullet"/>
      </w:pPr>
      <w:r>
        <w:rPr>
          <w:rFonts w:ascii="Arial" w:hAnsi="Arial"/>
        </w:rPr>
        <w:t>Encyclopaedia Judaica / Encyclopedia.com: Baal, Hadad und verwandte Wettergotttraditionen.</w:t>
      </w:r>
    </w:p>
    <w:p>
      <w:pPr>
        <w:pStyle w:val="Heading3"/>
      </w:pPr>
      <w:r>
        <w:t>1.4 Aschera, Inschriften und Volksreligion</w:t>
      </w:r>
    </w:p>
    <w:p>
      <w:pPr>
        <w:pStyle w:val="ListBullet"/>
      </w:pPr>
      <w:r>
        <w:rPr>
          <w:rFonts w:ascii="Arial" w:hAnsi="Arial"/>
        </w:rPr>
        <w:t>Schniedewind, William M., u.a. 'Religion at Kuntillet Ajrud', Religions 10/3, 2019.</w:t>
      </w:r>
    </w:p>
    <w:p>
      <w:pPr>
        <w:pStyle w:val="ListBullet"/>
      </w:pPr>
      <w:r>
        <w:rPr>
          <w:rFonts w:ascii="Arial" w:hAnsi="Arial"/>
        </w:rPr>
        <w:t>Hadley, Judith M. The Cult of Asherah in Ancient Israel and Judah. Cambridge University Press, 2000.</w:t>
      </w:r>
    </w:p>
    <w:p>
      <w:pPr>
        <w:pStyle w:val="ListBullet"/>
      </w:pPr>
      <w:r>
        <w:rPr>
          <w:rFonts w:ascii="Arial" w:hAnsi="Arial"/>
        </w:rPr>
        <w:t>Olyan, Saul M. Asherah and the Cult of Yahweh in Israel. Scholars Press, 1988/1999.</w:t>
      </w:r>
    </w:p>
    <w:p>
      <w:pPr>
        <w:pStyle w:val="ListBullet"/>
      </w:pPr>
      <w:r>
        <w:rPr>
          <w:rFonts w:ascii="Arial" w:hAnsi="Arial"/>
        </w:rPr>
        <w:t>Zevit, Ziony. Arbeiten zu Aschera, Kuntillet Ajrud und althebraeischer Religion.</w:t>
      </w:r>
    </w:p>
    <w:p>
      <w:pPr>
        <w:pStyle w:val="ListBullet"/>
      </w:pPr>
      <w:r>
        <w:rPr>
          <w:rFonts w:ascii="Arial" w:hAnsi="Arial"/>
        </w:rPr>
        <w:t>Binger, Tilde. Asherah: Goddesses in Ugarit, Israel and the Old Testament. Sheffield Academic Press, 1997.</w:t>
      </w:r>
    </w:p>
    <w:p>
      <w:pPr>
        <w:pStyle w:val="ListBullet"/>
      </w:pPr>
      <w:r>
        <w:rPr>
          <w:rFonts w:ascii="Arial" w:hAnsi="Arial"/>
        </w:rPr>
        <w:t>Kim, Jun. 'Kuntillet Ajrud Yahweh and His Asherah and the Goddess Asherah', Korean Journal of Old Testament Studies 24/3, 2018.</w:t>
      </w:r>
    </w:p>
    <w:p>
      <w:pPr>
        <w:pStyle w:val="ListBullet"/>
      </w:pPr>
      <w:r>
        <w:rPr>
          <w:rFonts w:ascii="Arial" w:hAnsi="Arial"/>
        </w:rPr>
        <w:t>Hess, Richard S. Arbeiten zu Aschera, Inschriften und altisraelitischer Religion.</w:t>
      </w:r>
    </w:p>
    <w:p>
      <w:pPr>
        <w:pStyle w:val="Heading3"/>
      </w:pPr>
      <w:r>
        <w:t>1.5 Second Temple, Engel, Waechter, Daemonen und Satanfiguren</w:t>
      </w:r>
    </w:p>
    <w:p>
      <w:pPr>
        <w:pStyle w:val="ListBullet"/>
      </w:pPr>
      <w:r>
        <w:rPr>
          <w:rFonts w:ascii="Arial" w:hAnsi="Arial"/>
        </w:rPr>
        <w:t>Reed, Annette Yoshiko. Demons, Angels, and Writing in Ancient Judaism. Cambridge University Press, 2020.</w:t>
      </w:r>
    </w:p>
    <w:p>
      <w:pPr>
        <w:pStyle w:val="ListBullet"/>
      </w:pPr>
      <w:r>
        <w:rPr>
          <w:rFonts w:ascii="Arial" w:hAnsi="Arial"/>
        </w:rPr>
        <w:t>Nickelsburg, George W. E. Arbeiten zu 1 Henoch, besonders Book of Watchers und himmlischer Tempelvorstellung.</w:t>
      </w:r>
    </w:p>
    <w:p>
      <w:pPr>
        <w:pStyle w:val="ListBullet"/>
      </w:pPr>
      <w:r>
        <w:rPr>
          <w:rFonts w:ascii="Arial" w:hAnsi="Arial"/>
        </w:rPr>
        <w:t>The Watchers in Jewish and Christian Traditions. Sammelband zu Genesis 6, Waechtern, Riesen und Daemonen.</w:t>
      </w:r>
    </w:p>
    <w:p>
      <w:pPr>
        <w:pStyle w:val="ListBullet"/>
      </w:pPr>
      <w:r>
        <w:rPr>
          <w:rFonts w:ascii="Arial" w:hAnsi="Arial"/>
        </w:rPr>
        <w:t>Reynolds, Bennie H. III. 'Understanding the Demonologies of the Dead Sea Scrolls', Religion Compass 7/4, 2013.</w:t>
      </w:r>
    </w:p>
    <w:p>
      <w:pPr>
        <w:pStyle w:val="ListBullet"/>
      </w:pPr>
      <w:r>
        <w:rPr>
          <w:rFonts w:ascii="Arial" w:hAnsi="Arial"/>
        </w:rPr>
        <w:t>Patmore, Hector M. 'Demonology and Terminology in Jubilees', Journal for the Study of Judaism 54/2, 2023.</w:t>
      </w:r>
    </w:p>
    <w:p>
      <w:pPr>
        <w:pStyle w:val="ListBullet"/>
      </w:pPr>
      <w:r>
        <w:rPr>
          <w:rFonts w:ascii="Arial" w:hAnsi="Arial"/>
        </w:rPr>
        <w:t>Tronina, Antoni. 'Prince Mastema and His Army in the Book of Jubilees', The Biblical Annals.</w:t>
      </w:r>
    </w:p>
    <w:p>
      <w:pPr>
        <w:pStyle w:val="ListBullet"/>
      </w:pPr>
      <w:r>
        <w:rPr>
          <w:rFonts w:ascii="Arial" w:hAnsi="Arial"/>
        </w:rPr>
        <w:t>Israel Museum, Dead Sea Scrolls Digital Project: War Scroll.</w:t>
      </w:r>
    </w:p>
    <w:p>
      <w:pPr>
        <w:pStyle w:val="ListBullet"/>
      </w:pPr>
      <w:r>
        <w:rPr>
          <w:rFonts w:ascii="Arial" w:hAnsi="Arial"/>
        </w:rPr>
        <w:t>Huber, Lynn R. Oxford Bibliographies: 'Satan'.</w:t>
      </w:r>
    </w:p>
    <w:p>
      <w:pPr>
        <w:pStyle w:val="Heading3"/>
      </w:pPr>
      <w:r>
        <w:t>1.6 Anunnaki, Mesopotamien, Marduk und Vergleichsgrenzen</w:t>
      </w:r>
    </w:p>
    <w:p>
      <w:pPr>
        <w:pStyle w:val="ListBullet"/>
      </w:pPr>
      <w:r>
        <w:rPr>
          <w:rFonts w:ascii="Arial" w:hAnsi="Arial"/>
        </w:rPr>
        <w:t>ORACC, Ancient Mesopotamian Gods and Goddesses: Anunna/Anunnaki.</w:t>
      </w:r>
    </w:p>
    <w:p>
      <w:pPr>
        <w:pStyle w:val="ListBullet"/>
      </w:pPr>
      <w:r>
        <w:rPr>
          <w:rFonts w:ascii="Arial" w:hAnsi="Arial"/>
        </w:rPr>
        <w:t>ORACC, Ancient Mesopotamian Gods and Goddesses: An/Anu.</w:t>
      </w:r>
    </w:p>
    <w:p>
      <w:pPr>
        <w:pStyle w:val="ListBullet"/>
      </w:pPr>
      <w:r>
        <w:rPr>
          <w:rFonts w:ascii="Arial" w:hAnsi="Arial"/>
        </w:rPr>
        <w:t>Enuma Elish, besonders Tafel VI, in wissenschaftlichen Uebersetzungen etwa W. G. Lambert.</w:t>
      </w:r>
    </w:p>
    <w:p>
      <w:pPr>
        <w:pStyle w:val="ListBullet"/>
      </w:pPr>
      <w:r>
        <w:rPr>
          <w:rFonts w:ascii="Arial" w:hAnsi="Arial"/>
        </w:rPr>
        <w:t>Matsushima, Eiko. 'On the Significance of Fifty Names of Marduk', Orient 51, 2008.</w:t>
      </w:r>
    </w:p>
    <w:p>
      <w:pPr>
        <w:pStyle w:val="ListBullet"/>
      </w:pPr>
      <w:r>
        <w:rPr>
          <w:rFonts w:ascii="Arial" w:hAnsi="Arial"/>
        </w:rPr>
        <w:t>Shibata, Daisuke. 'The Hermeneutics of the Names of Deities in Ancient Mesopotamia', Orient 49/2, 2006.</w:t>
      </w:r>
    </w:p>
    <w:p>
      <w:pPr>
        <w:pStyle w:val="ListBullet"/>
      </w:pPr>
      <w:r>
        <w:rPr>
          <w:rFonts w:ascii="Arial" w:hAnsi="Arial"/>
        </w:rPr>
        <w:t>Jang, Ki-Eun. 'The Problems of Sons of Gods, Daughters of Humans, and the Nephilim in Genesis 6:1-4: A Reassessment', Religions 16/8, 2025.</w:t>
      </w:r>
    </w:p>
    <w:p>
      <w:pPr>
        <w:pStyle w:val="ListBullet"/>
      </w:pPr>
      <w:r>
        <w:rPr>
          <w:rFonts w:ascii="Arial" w:hAnsi="Arial"/>
        </w:rPr>
        <w:t>Lokale Anlage F 'anunaki.docx' als Arbeitsnotiz, nicht als externe Evidenz.</w:t>
      </w:r>
    </w:p>
    <w:p>
      <w:pPr>
        <w:pStyle w:val="Heading3"/>
      </w:pPr>
      <w:r>
        <w:t>1.7 Gewalt, Opfer, Plagen und Gericht</w:t>
      </w:r>
    </w:p>
    <w:p>
      <w:pPr>
        <w:pStyle w:val="ListBullet"/>
      </w:pPr>
      <w:r>
        <w:rPr>
          <w:rFonts w:ascii="Arial" w:hAnsi="Arial"/>
        </w:rPr>
        <w:t>Firestone, Reuven. Holy War in Judaism. Oxford University Press, 2012.</w:t>
      </w:r>
    </w:p>
    <w:p>
      <w:pPr>
        <w:pStyle w:val="ListBullet"/>
      </w:pPr>
      <w:r>
        <w:rPr>
          <w:rFonts w:ascii="Arial" w:hAnsi="Arial"/>
        </w:rPr>
        <w:t>Luelik, Benjamin. 'Herem and the Concept of Holy War in Traditional Judaism', Edinost in Dialog 77/2, 2022.</w:t>
      </w:r>
    </w:p>
    <w:p>
      <w:pPr>
        <w:pStyle w:val="ListBullet"/>
      </w:pPr>
      <w:r>
        <w:rPr>
          <w:rFonts w:ascii="Arial" w:hAnsi="Arial"/>
        </w:rPr>
        <w:t>Botha, P. J. J. 'Reflecting on (Non-)violence in the book of Deuteronomy', Old Testament Essays 27/2, 2014.</w:t>
      </w:r>
    </w:p>
    <w:p>
      <w:pPr>
        <w:pStyle w:val="ListBullet"/>
      </w:pPr>
      <w:r>
        <w:rPr>
          <w:rFonts w:ascii="Arial" w:hAnsi="Arial"/>
        </w:rPr>
        <w:t>Levine, Baruch A. 'Is God Truly Everywhere? Sacred Space and the Role of Sacrifices', TheTorah.com, 2014.</w:t>
      </w:r>
    </w:p>
    <w:p>
      <w:pPr>
        <w:pStyle w:val="ListBullet"/>
      </w:pPr>
      <w:r>
        <w:rPr>
          <w:rFonts w:ascii="Arial" w:hAnsi="Arial"/>
        </w:rPr>
        <w:t>Satlow, Michael L. 'Slaughter Remained Sacred Despite Deuteronomy, Thus Shechitah', TheTorah.com, 2025.</w:t>
      </w:r>
    </w:p>
    <w:p>
      <w:pPr>
        <w:pStyle w:val="ListBullet"/>
      </w:pPr>
      <w:r>
        <w:rPr>
          <w:rFonts w:ascii="Arial" w:hAnsi="Arial"/>
        </w:rPr>
        <w:t>Gudme, Anne Katrine de Hemmer. 'If I were hungry, I would not tell you', Scandinavian Journal of the Old Testament 28/2, 2014.</w:t>
      </w:r>
    </w:p>
    <w:p>
      <w:pPr>
        <w:pStyle w:val="ListBullet"/>
      </w:pPr>
      <w:r>
        <w:rPr>
          <w:rFonts w:ascii="Arial" w:hAnsi="Arial"/>
        </w:rPr>
        <w:t>Smelik, Klaas A. D. 'Moloch, Molekh or molk-sacrifice?', Scandinavian Journal of the Old Testament 9/1, 1995.</w:t>
      </w:r>
    </w:p>
    <w:p>
      <w:pPr>
        <w:pStyle w:val="ListBullet"/>
      </w:pPr>
      <w:r>
        <w:rPr>
          <w:rFonts w:ascii="Arial" w:hAnsi="Arial"/>
        </w:rPr>
        <w:t>Levenson, Jon D. The Death and Resurrection of the Beloved Son. Yale University Press, 1993.</w:t>
      </w:r>
    </w:p>
    <w:p>
      <w:pPr>
        <w:pStyle w:val="ListBullet"/>
      </w:pPr>
      <w:r>
        <w:rPr>
          <w:rFonts w:ascii="Arial" w:hAnsi="Arial"/>
        </w:rPr>
        <w:t>Seri-Levi, Ariel. 'From Biblical Semantics to Theology: Divine and Human ka'as and qin'ah', Harvard Theological Review 117/4, 2024.</w:t>
      </w:r>
    </w:p>
    <w:p>
      <w:pPr>
        <w:pStyle w:val="Heading2"/>
      </w:pPr>
      <w:r>
        <w:t>2. Schlussbewertung V2</w:t>
      </w:r>
    </w:p>
    <w:p>
      <w:r>
        <w:rPr>
          <w:rFonts w:ascii="Arial" w:hAnsi="Arial"/>
        </w:rPr>
        <w:t>Die bisherige Untersuchung fuehrt zu einer klaren Schlussbewertung. Die These, dass JHWH, El, Baal, Marduk, Anunnaki, Elohim, Waechter und andere Gottheiten einfach ein und dieselbe Gottheit mit wechselnden Namen seien, ist in dieser harten Form nicht belegbar. Weder die Sprachen noch die Texttraditionen noch die historischen Kontexte erlauben eine solche direkte Gleichsetzung.</w:t>
      </w:r>
      <w:r>
        <w:footnoteReference w:id="86"/>
      </w:r>
    </w:p>
    <w:p>
      <w:r>
        <w:rPr>
          <w:rFonts w:ascii="Arial" w:hAnsi="Arial"/>
        </w:rPr>
        <w:t>Die tragfaehige These ist staerker und zugleich praeziser: Die biblische JHWH-Religion entsteht aus einem pluralen westsemitisch-kanaanaeischen Religionsraum. In diesem Prozess werden goettliche Namen, Funktionen und Bilder verschoben. JHWH wird mit El identifiziert, uebernimmt Hochgott-, Schoepfer-, Koenigs- und Vaterfunktionen, absorbiert Baal/Hadads Wetter-, Kriegs- und Chaoskampfmotive, verdraengt Aschera aus der normativen Theologie und ordnet andere himmlische Wesen unter.</w:t>
      </w:r>
      <w:r>
        <w:footnoteReference w:id="87"/>
      </w:r>
    </w:p>
    <w:p>
      <w:r>
        <w:rPr>
          <w:rFonts w:ascii="Arial" w:hAnsi="Arial"/>
        </w:rPr>
        <w:t>Die eigentliche Forschungsthese der Arbeit lautet daher: Der biblische Monotheismus ist nicht als urspruenglich isolierter Ein-Gott-Glaube zu verstehen, sondern als Ergebnis eines langen Transformationsprozesses, in dem ein Gott Israels zum einzigen universalen Gott ausgebaut wird. Diese Entwicklung ist textlich, archaeologisch, religionsgeschichtlich und literarisch rekonstruierbar, auch wenn kein einzelner antiker Text den gesamten Prozess zusammenhaengend beschreibt.</w:t>
      </w:r>
    </w:p>
    <w:p>
      <w:r>
        <w:rPr>
          <w:rFonts w:ascii="Arial" w:hAnsi="Arial"/>
        </w:rPr>
        <w:t>Ethisch bleibt das Ergebnis spannungsreich. JHWHs Aufstieg zum einzigen Gott loest das Problem von Gewalt, Opfer, Gericht und Exklusivitaet nicht; er konzentriert es. Was in einem polytheistischen Umfeld als Konflikt zwischen Gottheiten, Voelkern und Kulten erscheinen konnte, wird im Monotheismus zum Problem des einen Gottes selbst. Diese Spannung ist kein Nebenthema, sondern ein Kernpunkt der Ausarbeitung.</w:t>
      </w:r>
    </w:p>
    <w:p>
      <w:pPr>
        <w:pStyle w:val="Heading3"/>
      </w:pPr>
      <w:r>
        <w:t>2.1 Was damit beantwortet ist</w:t>
      </w:r>
    </w:p>
    <w:p>
      <w:r>
        <w:rPr>
          <w:rFonts w:ascii="Arial" w:hAnsi="Arial"/>
        </w:rPr>
        <w:t>Die bisherigen Kapitel beantworten die Leitfragen nicht im Sinn einer einfachen Ja/Nein-These, sondern im Sinn einer quellenkritischen Staffelung. Es ist belegbar, dass die fruehe israelitische Religion nicht als isolierter Monotheismus beginnt. Es ist stark plausibel, dass JHWH im Verlauf der Traditionsbildung mit El identifiziert und mit Funktionen anderer westsemitischer Gottheiten ausgestattet wurde. Es ist nicht belegbar, dass alle Gottheiten des Alten Orients realhistorisch derselbe Gott mit wechselnden Namen waren.</w:t>
      </w:r>
      <w:r>
        <w:footnoteReference w:id="88"/>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Leitfrage</w:t>
            </w:r>
          </w:p>
        </w:tc>
        <w:tc>
          <w:tcPr>
            <w:tcW w:type="dxa" w:w="3300"/>
            <w:vAlign w:val="top"/>
            <w:shd w:fill="F1F3F4"/>
          </w:tcPr>
          <w:p>
            <w:r/>
            <w:r>
              <w:rPr>
                <w:rFonts w:ascii="Arial" w:hAnsi="Arial"/>
                <w:b/>
                <w:sz w:val="16"/>
              </w:rPr>
              <w:t>Kurzantwort</w:t>
            </w:r>
          </w:p>
        </w:tc>
        <w:tc>
          <w:tcPr>
            <w:tcW w:type="dxa" w:w="3300"/>
            <w:vAlign w:val="top"/>
            <w:shd w:fill="F1F3F4"/>
          </w:tcPr>
          <w:p>
            <w:r/>
            <w:r>
              <w:rPr>
                <w:rFonts w:ascii="Arial" w:hAnsi="Arial"/>
                <w:b/>
                <w:sz w:val="16"/>
              </w:rPr>
              <w:t>Einordnung</w:t>
            </w:r>
          </w:p>
        </w:tc>
      </w:tr>
      <w:tr>
        <w:tc>
          <w:tcPr>
            <w:tcW w:type="dxa" w:w="2400"/>
            <w:vAlign w:val="top"/>
          </w:tcPr>
          <w:p>
            <w:r/>
            <w:r>
              <w:rPr>
                <w:rFonts w:ascii="Arial" w:hAnsi="Arial"/>
                <w:b w:val="0"/>
                <w:sz w:val="16"/>
              </w:rPr>
              <w:t>Frage</w:t>
            </w:r>
          </w:p>
        </w:tc>
        <w:tc>
          <w:tcPr>
            <w:tcW w:type="dxa" w:w="3300"/>
            <w:vAlign w:val="top"/>
          </w:tcPr>
          <w:p>
            <w:r/>
            <w:r>
              <w:rPr>
                <w:rFonts w:ascii="Arial" w:hAnsi="Arial"/>
                <w:b w:val="0"/>
                <w:sz w:val="16"/>
              </w:rPr>
              <w:t>Aktueller Antwortstand</w:t>
            </w:r>
          </w:p>
        </w:tc>
        <w:tc>
          <w:tcPr>
            <w:tcW w:type="dxa" w:w="3300"/>
            <w:vAlign w:val="top"/>
          </w:tcPr>
          <w:p>
            <w:r/>
            <w:r>
              <w:rPr>
                <w:rFonts w:ascii="Arial" w:hAnsi="Arial"/>
                <w:b w:val="0"/>
                <w:sz w:val="16"/>
              </w:rPr>
              <w:t>Beleggrad</w:t>
            </w:r>
          </w:p>
        </w:tc>
      </w:tr>
      <w:tr>
        <w:tc>
          <w:tcPr>
            <w:tcW w:type="dxa" w:w="2400"/>
            <w:vAlign w:val="top"/>
          </w:tcPr>
          <w:p>
            <w:r/>
            <w:r>
              <w:rPr>
                <w:rFonts w:ascii="Arial" w:hAnsi="Arial"/>
                <w:b w:val="0"/>
                <w:sz w:val="16"/>
              </w:rPr>
              <w:t>War JHWH von Anfang an der einzige Gott?</w:t>
            </w:r>
          </w:p>
        </w:tc>
        <w:tc>
          <w:tcPr>
            <w:tcW w:type="dxa" w:w="3300"/>
            <w:vAlign w:val="top"/>
          </w:tcPr>
          <w:p>
            <w:r/>
            <w:r>
              <w:rPr>
                <w:rFonts w:ascii="Arial" w:hAnsi="Arial"/>
                <w:b w:val="0"/>
                <w:sz w:val="16"/>
              </w:rPr>
              <w:t>Nein als religionsgeschichtlicher Ausgangspunkt; die Texte und Vergleichsquellen zeigen aeltere Mehrzahl- und Ratsvorstellungen.</w:t>
            </w:r>
          </w:p>
        </w:tc>
        <w:tc>
          <w:tcPr>
            <w:tcW w:type="dxa" w:w="3300"/>
            <w:vAlign w:val="top"/>
          </w:tcPr>
          <w:p>
            <w:r/>
            <w:r>
              <w:rPr>
                <w:rFonts w:ascii="Arial" w:hAnsi="Arial"/>
                <w:b w:val="0"/>
                <w:sz w:val="16"/>
              </w:rPr>
              <w:t>Belastbares Ergebnis</w:t>
            </w:r>
          </w:p>
        </w:tc>
      </w:tr>
      <w:tr>
        <w:tc>
          <w:tcPr>
            <w:tcW w:type="dxa" w:w="2400"/>
            <w:vAlign w:val="top"/>
          </w:tcPr>
          <w:p>
            <w:r/>
            <w:r>
              <w:rPr>
                <w:rFonts w:ascii="Arial" w:hAnsi="Arial"/>
                <w:b w:val="0"/>
                <w:sz w:val="16"/>
              </w:rPr>
              <w:t>Ist El der wichtigste Bezugspunkt fuer JHWH?</w:t>
            </w:r>
          </w:p>
        </w:tc>
        <w:tc>
          <w:tcPr>
            <w:tcW w:type="dxa" w:w="3300"/>
            <w:vAlign w:val="top"/>
          </w:tcPr>
          <w:p>
            <w:r/>
            <w:r>
              <w:rPr>
                <w:rFonts w:ascii="Arial" w:hAnsi="Arial"/>
                <w:b w:val="0"/>
                <w:sz w:val="16"/>
              </w:rPr>
              <w:t>Ja, fuer Hochgott-, Vater-, Schoepfer- und Koenigstitel ist El der naheliegendste westsemitische Bezugspunkt.</w:t>
            </w:r>
          </w:p>
        </w:tc>
        <w:tc>
          <w:tcPr>
            <w:tcW w:type="dxa" w:w="3300"/>
            <w:vAlign w:val="top"/>
          </w:tcPr>
          <w:p>
            <w:r/>
            <w:r>
              <w:rPr>
                <w:rFonts w:ascii="Arial" w:hAnsi="Arial"/>
                <w:b w:val="0"/>
                <w:sz w:val="16"/>
              </w:rPr>
              <w:t>Stark plausibel</w:t>
            </w:r>
          </w:p>
        </w:tc>
      </w:tr>
      <w:tr>
        <w:tc>
          <w:tcPr>
            <w:tcW w:type="dxa" w:w="2400"/>
            <w:vAlign w:val="top"/>
          </w:tcPr>
          <w:p>
            <w:r/>
            <w:r>
              <w:rPr>
                <w:rFonts w:ascii="Arial" w:hAnsi="Arial"/>
                <w:b w:val="0"/>
                <w:sz w:val="16"/>
              </w:rPr>
              <w:t>Sind Baal/Hadad und JHWH identisch?</w:t>
            </w:r>
          </w:p>
        </w:tc>
        <w:tc>
          <w:tcPr>
            <w:tcW w:type="dxa" w:w="3300"/>
            <w:vAlign w:val="top"/>
          </w:tcPr>
          <w:p>
            <w:r/>
            <w:r>
              <w:rPr>
                <w:rFonts w:ascii="Arial" w:hAnsi="Arial"/>
                <w:b w:val="0"/>
                <w:sz w:val="16"/>
              </w:rPr>
              <w:t>Nein als Identitaet; ja in Bezug auf uebernommene Wetter-, Kriegs- und Chaoskampfmotive.</w:t>
            </w:r>
          </w:p>
        </w:tc>
        <w:tc>
          <w:tcPr>
            <w:tcW w:type="dxa" w:w="3300"/>
            <w:vAlign w:val="top"/>
          </w:tcPr>
          <w:p>
            <w:r/>
            <w:r>
              <w:rPr>
                <w:rFonts w:ascii="Arial" w:hAnsi="Arial"/>
                <w:b w:val="0"/>
                <w:sz w:val="16"/>
              </w:rPr>
              <w:t>Transformation statt Identitaet</w:t>
            </w:r>
          </w:p>
        </w:tc>
      </w:tr>
      <w:tr>
        <w:tc>
          <w:tcPr>
            <w:tcW w:type="dxa" w:w="2400"/>
            <w:vAlign w:val="top"/>
          </w:tcPr>
          <w:p>
            <w:r/>
            <w:r>
              <w:rPr>
                <w:rFonts w:ascii="Arial" w:hAnsi="Arial"/>
                <w:b w:val="0"/>
                <w:sz w:val="16"/>
              </w:rPr>
              <w:t>Sind Anunnaki und Elohim dasselbe?</w:t>
            </w:r>
          </w:p>
        </w:tc>
        <w:tc>
          <w:tcPr>
            <w:tcW w:type="dxa" w:w="3300"/>
            <w:vAlign w:val="top"/>
          </w:tcPr>
          <w:p>
            <w:r/>
            <w:r>
              <w:rPr>
                <w:rFonts w:ascii="Arial" w:hAnsi="Arial"/>
                <w:b w:val="0"/>
                <w:sz w:val="16"/>
              </w:rPr>
              <w:t>Nein; Anunnaki sind mesopotamische Goettergruppen, elohim ist eine hebraeische Kategorie fuer Gott/Gottheiten/goettliche Wesen.</w:t>
            </w:r>
          </w:p>
        </w:tc>
        <w:tc>
          <w:tcPr>
            <w:tcW w:type="dxa" w:w="3300"/>
            <w:vAlign w:val="top"/>
          </w:tcPr>
          <w:p>
            <w:r/>
            <w:r>
              <w:rPr>
                <w:rFonts w:ascii="Arial" w:hAnsi="Arial"/>
                <w:b w:val="0"/>
                <w:sz w:val="16"/>
              </w:rPr>
              <w:t>Nicht belegt/verworfen</w:t>
            </w:r>
          </w:p>
        </w:tc>
      </w:tr>
      <w:tr>
        <w:tc>
          <w:tcPr>
            <w:tcW w:type="dxa" w:w="2400"/>
            <w:vAlign w:val="top"/>
          </w:tcPr>
          <w:p>
            <w:r/>
            <w:r>
              <w:rPr>
                <w:rFonts w:ascii="Arial" w:hAnsi="Arial"/>
                <w:b w:val="0"/>
                <w:sz w:val="16"/>
              </w:rPr>
              <w:t>Verschwindet der Goetterrat einfach?</w:t>
            </w:r>
          </w:p>
        </w:tc>
        <w:tc>
          <w:tcPr>
            <w:tcW w:type="dxa" w:w="3300"/>
            <w:vAlign w:val="top"/>
          </w:tcPr>
          <w:p>
            <w:r/>
            <w:r>
              <w:rPr>
                <w:rFonts w:ascii="Arial" w:hAnsi="Arial"/>
                <w:b w:val="0"/>
                <w:sz w:val="16"/>
              </w:rPr>
              <w:t>Nein abrupt; er wird schrittweise untergeordnet, umgedeutet oder literarisch erinnert.</w:t>
            </w:r>
          </w:p>
        </w:tc>
        <w:tc>
          <w:tcPr>
            <w:tcW w:type="dxa" w:w="3300"/>
            <w:vAlign w:val="top"/>
          </w:tcPr>
          <w:p>
            <w:r/>
            <w:r>
              <w:rPr>
                <w:rFonts w:ascii="Arial" w:hAnsi="Arial"/>
                <w:b w:val="0"/>
                <w:sz w:val="16"/>
              </w:rPr>
              <w:t>Plausibel bis stark plausibel</w:t>
            </w:r>
          </w:p>
        </w:tc>
      </w:tr>
      <w:tr>
        <w:tc>
          <w:tcPr>
            <w:tcW w:type="dxa" w:w="2400"/>
            <w:vAlign w:val="top"/>
          </w:tcPr>
          <w:p>
            <w:r/>
            <w:r>
              <w:rPr>
                <w:rFonts w:ascii="Arial" w:hAnsi="Arial"/>
                <w:b w:val="0"/>
                <w:sz w:val="16"/>
              </w:rPr>
              <w:t>Loest Monotheismus das Gewaltproblem?</w:t>
            </w:r>
          </w:p>
        </w:tc>
        <w:tc>
          <w:tcPr>
            <w:tcW w:type="dxa" w:w="3300"/>
            <w:vAlign w:val="top"/>
          </w:tcPr>
          <w:p>
            <w:r/>
            <w:r>
              <w:rPr>
                <w:rFonts w:ascii="Arial" w:hAnsi="Arial"/>
                <w:b w:val="0"/>
                <w:sz w:val="16"/>
              </w:rPr>
              <w:t>Nein; Gewalt, Opfer, Plagen und Gericht werden theologisch im einen Gott konzentriert.</w:t>
            </w:r>
          </w:p>
        </w:tc>
        <w:tc>
          <w:tcPr>
            <w:tcW w:type="dxa" w:w="3300"/>
            <w:vAlign w:val="top"/>
          </w:tcPr>
          <w:p>
            <w:r/>
            <w:r>
              <w:rPr>
                <w:rFonts w:ascii="Arial" w:hAnsi="Arial"/>
                <w:b w:val="0"/>
                <w:sz w:val="16"/>
              </w:rPr>
              <w:t>Ethisches Ergebnis der Analyse</w:t>
            </w:r>
          </w:p>
        </w:tc>
      </w:tr>
    </w:tbl>
    <w:p>
      <w:pPr>
        <w:pStyle w:val="Heading3"/>
      </w:pPr>
      <w:r>
        <w:t>2.2 Was weiterhin offen bleibt</w:t>
      </w:r>
    </w:p>
    <w:p>
      <w:r>
        <w:rPr>
          <w:rFonts w:ascii="Arial" w:hAnsi="Arial"/>
        </w:rPr>
        <w:t>Offen bleiben vor allem Detailfragen, die nicht durch ein einzelnes Dokument entschieden werden koennen. Dazu gehoeren die genaue Herkunft JHWHs, der konkrete Weg seiner Identifikation mit El, der Grad der Aschera-Verehrung in unterschiedlichen sozialen Milieus und die Frage, wie stark mesopotamische Traditionen direkt oder indirekt in einzelne biblische Texte eingegangen sind. Diese offenen Punkte schwaechen das Transformationsmodell nicht; sie definieren vielmehr die naechste Forschungsstufe.</w:t>
      </w:r>
      <w:r>
        <w:footnoteReference w:id="89"/>
      </w:r>
    </w:p>
    <w:p>
      <w:pPr>
        <w:pStyle w:val="ListBullet"/>
      </w:pPr>
      <w:r>
        <w:rPr>
          <w:rFonts w:ascii="Arial" w:hAnsi="Arial"/>
        </w:rPr>
        <w:t>Herkunft JHWHs: suedliche Herkunftsmodelle bleiben plausibel, aber nicht abschliessend beweisbar.</w:t>
      </w:r>
    </w:p>
    <w:p>
      <w:pPr>
        <w:pStyle w:val="ListBullet"/>
      </w:pPr>
      <w:r>
        <w:rPr>
          <w:rFonts w:ascii="Arial" w:hAnsi="Arial"/>
        </w:rPr>
        <w:t>El/JHWH-Identifikation: der Prozess ist rekonstruierbar, aber nicht durch einen einzelnen antiken Bericht dokumentiert.</w:t>
      </w:r>
    </w:p>
    <w:p>
      <w:pPr>
        <w:pStyle w:val="ListBullet"/>
      </w:pPr>
      <w:r>
        <w:rPr>
          <w:rFonts w:ascii="Arial" w:hAnsi="Arial"/>
        </w:rPr>
        <w:t>Aschera: zwischen Goettin, Kultsymbol, Hypostase und Volksreligion muss weiter differenziert werden.</w:t>
      </w:r>
    </w:p>
    <w:p>
      <w:pPr>
        <w:pStyle w:val="ListBullet"/>
      </w:pPr>
      <w:r>
        <w:rPr>
          <w:rFonts w:ascii="Arial" w:hAnsi="Arial"/>
        </w:rPr>
        <w:t>Mesopotamischer Einfluss: literarische Parallelen sind stark, direkte Identitaeten zwischen Goettern dagegen nicht belegt.</w:t>
      </w:r>
    </w:p>
    <w:p>
      <w:pPr>
        <w:pStyle w:val="ListBullet"/>
      </w:pPr>
      <w:r>
        <w:rPr>
          <w:rFonts w:ascii="Arial" w:hAnsi="Arial"/>
        </w:rPr>
        <w:t>Second-Temple-Umdeutung: Engel, Waechter, Daemonen und Satanfiguren brauchen weitere Detailarbeit, duerfen aber nicht in die Fruehphase zurueckprojiziert werden.</w:t>
      </w:r>
    </w:p>
    <w:p>
      <w:pPr>
        <w:pStyle w:val="Heading2"/>
      </w:pPr>
      <w:r>
        <w:t>3. Ergebnismatrix fuer die vorlaeufige Endfassung</w:t>
      </w:r>
    </w:p>
    <w:p>
      <w:r>
        <w:rPr>
          <w:rFonts w:ascii="Arial" w:hAnsi="Arial"/>
        </w:rPr>
        <w:t>Fuer die weitere Ausarbeitung wird die folgende Ergebnismatrix als Leitentscheidung verwendet. Sie verhindert, dass starke Befunde und offene Spekulationen im Schlusskapitel gleich behandelt werden.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Aussage</w:t>
            </w:r>
          </w:p>
        </w:tc>
        <w:tc>
          <w:tcPr>
            <w:tcW w:type="dxa" w:w="2500"/>
            <w:vAlign w:val="top"/>
            <w:shd w:fill="F1F3F4"/>
          </w:tcPr>
          <w:p>
            <w:r/>
            <w:r>
              <w:rPr>
                <w:rFonts w:ascii="Arial" w:hAnsi="Arial"/>
                <w:b/>
                <w:sz w:val="16"/>
              </w:rPr>
              <w:t>Endbewertung</w:t>
            </w:r>
          </w:p>
        </w:tc>
        <w:tc>
          <w:tcPr>
            <w:tcW w:type="dxa" w:w="3200"/>
            <w:vAlign w:val="top"/>
            <w:shd w:fill="F1F3F4"/>
          </w:tcPr>
          <w:p>
            <w:r/>
            <w:r>
              <w:rPr>
                <w:rFonts w:ascii="Arial" w:hAnsi="Arial"/>
                <w:b/>
                <w:sz w:val="16"/>
              </w:rPr>
              <w:t>Belegbasis</w:t>
            </w:r>
          </w:p>
        </w:tc>
        <w:tc>
          <w:tcPr>
            <w:tcW w:type="dxa" w:w="1500"/>
            <w:vAlign w:val="top"/>
            <w:shd w:fill="F1F3F4"/>
          </w:tcPr>
          <w:p>
            <w:r/>
            <w:r>
              <w:rPr>
                <w:rFonts w:ascii="Arial" w:hAnsi="Arial"/>
                <w:b/>
                <w:sz w:val="16"/>
              </w:rPr>
              <w:t>Redaktionsfolge</w:t>
            </w:r>
          </w:p>
        </w:tc>
      </w:tr>
      <w:tr>
        <w:tc>
          <w:tcPr>
            <w:tcW w:type="dxa" w:w="1800"/>
            <w:vAlign w:val="top"/>
          </w:tcPr>
          <w:p>
            <w:r/>
            <w:r>
              <w:rPr>
                <w:rFonts w:ascii="Arial" w:hAnsi="Arial"/>
                <w:b w:val="0"/>
                <w:sz w:val="16"/>
              </w:rPr>
              <w:t>Fruehisraelitische Religion entsteht im kanaanaeisch-suedlevantinischen Umfeld.</w:t>
            </w:r>
          </w:p>
        </w:tc>
        <w:tc>
          <w:tcPr>
            <w:tcW w:type="dxa" w:w="2500"/>
            <w:vAlign w:val="top"/>
          </w:tcPr>
          <w:p>
            <w:r/>
            <w:r>
              <w:rPr>
                <w:rFonts w:ascii="Arial" w:hAnsi="Arial"/>
                <w:b w:val="0"/>
                <w:sz w:val="16"/>
              </w:rPr>
              <w:t>Belastbares Ergebnis</w:t>
            </w:r>
          </w:p>
        </w:tc>
        <w:tc>
          <w:tcPr>
            <w:tcW w:type="dxa" w:w="3200"/>
            <w:vAlign w:val="top"/>
          </w:tcPr>
          <w:p>
            <w:r/>
            <w:r>
              <w:rPr>
                <w:rFonts w:ascii="Arial" w:hAnsi="Arial"/>
                <w:b w:val="0"/>
                <w:sz w:val="16"/>
              </w:rPr>
              <w:t>Archaeologie, Merenptah-Stele, Hochlandsiedlungen, westsemitischer Religionsraum.</w:t>
            </w:r>
          </w:p>
        </w:tc>
        <w:tc>
          <w:tcPr>
            <w:tcW w:type="dxa" w:w="1500"/>
            <w:vAlign w:val="top"/>
          </w:tcPr>
          <w:p>
            <w:r/>
            <w:r>
              <w:rPr>
                <w:rFonts w:ascii="Arial" w:hAnsi="Arial"/>
                <w:b w:val="0"/>
                <w:sz w:val="16"/>
              </w:rPr>
              <w:t>Als Ausgangspunkt der Arbeit verwenden.</w:t>
            </w:r>
          </w:p>
        </w:tc>
      </w:tr>
      <w:tr>
        <w:tc>
          <w:tcPr>
            <w:tcW w:type="dxa" w:w="1800"/>
            <w:vAlign w:val="top"/>
          </w:tcPr>
          <w:p>
            <w:r/>
            <w:r>
              <w:rPr>
                <w:rFonts w:ascii="Arial" w:hAnsi="Arial"/>
                <w:b w:val="0"/>
                <w:sz w:val="16"/>
              </w:rPr>
              <w:t>El ist der wichtigste Bezugspunkt fuer JHWHs spaetere Hochgottrolle.</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El-Titel, Ugarit, Elyon, Vater-/Schoepfer-/Koenigsfunktion.</w:t>
            </w:r>
          </w:p>
        </w:tc>
        <w:tc>
          <w:tcPr>
            <w:tcW w:type="dxa" w:w="1500"/>
            <w:vAlign w:val="top"/>
          </w:tcPr>
          <w:p>
            <w:r/>
            <w:r>
              <w:rPr>
                <w:rFonts w:ascii="Arial" w:hAnsi="Arial"/>
                <w:b w:val="0"/>
                <w:sz w:val="16"/>
              </w:rPr>
              <w:t>Als Hauptrekonstruktion formulieren, nicht als mathematische Identitaet.</w:t>
            </w:r>
          </w:p>
        </w:tc>
      </w:tr>
      <w:tr>
        <w:tc>
          <w:tcPr>
            <w:tcW w:type="dxa" w:w="1800"/>
            <w:vAlign w:val="top"/>
          </w:tcPr>
          <w:p>
            <w:r/>
            <w:r>
              <w:rPr>
                <w:rFonts w:ascii="Arial" w:hAnsi="Arial"/>
                <w:b w:val="0"/>
                <w:sz w:val="16"/>
              </w:rPr>
              <w:t>Dtn 32,8-9 bewahrt eine aeltere Ordnung mit Voelkern und goettlichen Soehnen.</w:t>
            </w:r>
          </w:p>
        </w:tc>
        <w:tc>
          <w:tcPr>
            <w:tcW w:type="dxa" w:w="2500"/>
            <w:vAlign w:val="top"/>
          </w:tcPr>
          <w:p>
            <w:r/>
            <w:r>
              <w:rPr>
                <w:rFonts w:ascii="Arial" w:hAnsi="Arial"/>
                <w:b w:val="0"/>
                <w:sz w:val="16"/>
              </w:rPr>
              <w:t>Plausibel bis stark</w:t>
            </w:r>
          </w:p>
        </w:tc>
        <w:tc>
          <w:tcPr>
            <w:tcW w:type="dxa" w:w="3200"/>
            <w:vAlign w:val="top"/>
          </w:tcPr>
          <w:p>
            <w:r/>
            <w:r>
              <w:rPr>
                <w:rFonts w:ascii="Arial" w:hAnsi="Arial"/>
                <w:b w:val="0"/>
                <w:sz w:val="16"/>
              </w:rPr>
              <w:t>DSS/LXX gegenueber MT; Israel als Anteil JHWHs.</w:t>
            </w:r>
          </w:p>
        </w:tc>
        <w:tc>
          <w:tcPr>
            <w:tcW w:type="dxa" w:w="1500"/>
            <w:vAlign w:val="top"/>
          </w:tcPr>
          <w:p>
            <w:r/>
            <w:r>
              <w:rPr>
                <w:rFonts w:ascii="Arial" w:hAnsi="Arial"/>
                <w:b w:val="0"/>
                <w:sz w:val="16"/>
              </w:rPr>
              <w:t>Textkritisch deutlich, religionsgeschichtlich diskutiert.</w:t>
            </w:r>
          </w:p>
        </w:tc>
      </w:tr>
      <w:tr>
        <w:tc>
          <w:tcPr>
            <w:tcW w:type="dxa" w:w="1800"/>
            <w:vAlign w:val="top"/>
          </w:tcPr>
          <w:p>
            <w:r/>
            <w:r>
              <w:rPr>
                <w:rFonts w:ascii="Arial" w:hAnsi="Arial"/>
                <w:b w:val="0"/>
                <w:sz w:val="16"/>
              </w:rPr>
              <w:t>JHWH absorbiert Baal/Hadad-Motive.</w:t>
            </w:r>
          </w:p>
        </w:tc>
        <w:tc>
          <w:tcPr>
            <w:tcW w:type="dxa" w:w="2500"/>
            <w:vAlign w:val="top"/>
          </w:tcPr>
          <w:p>
            <w:r/>
            <w:r>
              <w:rPr>
                <w:rFonts w:ascii="Arial" w:hAnsi="Arial"/>
                <w:b w:val="0"/>
                <w:sz w:val="16"/>
              </w:rPr>
              <w:t>Stark plausibel</w:t>
            </w:r>
          </w:p>
        </w:tc>
        <w:tc>
          <w:tcPr>
            <w:tcW w:type="dxa" w:w="3200"/>
            <w:vAlign w:val="top"/>
          </w:tcPr>
          <w:p>
            <w:r/>
            <w:r>
              <w:rPr>
                <w:rFonts w:ascii="Arial" w:hAnsi="Arial"/>
                <w:b w:val="0"/>
                <w:sz w:val="16"/>
              </w:rPr>
              <w:t>Wetter, Donner, Wolkenfahrt, Krieg, Chaoskampf, Baal-Polemik.</w:t>
            </w:r>
          </w:p>
        </w:tc>
        <w:tc>
          <w:tcPr>
            <w:tcW w:type="dxa" w:w="1500"/>
            <w:vAlign w:val="top"/>
          </w:tcPr>
          <w:p>
            <w:r/>
            <w:r>
              <w:rPr>
                <w:rFonts w:ascii="Arial" w:hAnsi="Arial"/>
                <w:b w:val="0"/>
                <w:sz w:val="16"/>
              </w:rPr>
              <w:t>Funktionsuebernahme statt einfacher Gleichsetzung.</w:t>
            </w:r>
          </w:p>
        </w:tc>
      </w:tr>
      <w:tr>
        <w:tc>
          <w:tcPr>
            <w:tcW w:type="dxa" w:w="1800"/>
            <w:vAlign w:val="top"/>
          </w:tcPr>
          <w:p>
            <w:r/>
            <w:r>
              <w:rPr>
                <w:rFonts w:ascii="Arial" w:hAnsi="Arial"/>
                <w:b w:val="0"/>
                <w:sz w:val="16"/>
              </w:rPr>
              <w:t>Aschera gehoerte zur gelebten Religion vieler Israeliten/Judaeer.</w:t>
            </w:r>
          </w:p>
        </w:tc>
        <w:tc>
          <w:tcPr>
            <w:tcW w:type="dxa" w:w="2500"/>
            <w:vAlign w:val="top"/>
          </w:tcPr>
          <w:p>
            <w:r/>
            <w:r>
              <w:rPr>
                <w:rFonts w:ascii="Arial" w:hAnsi="Arial"/>
                <w:b w:val="0"/>
                <w:sz w:val="16"/>
              </w:rPr>
              <w:t>Plausibel bis stark plausibel</w:t>
            </w:r>
          </w:p>
        </w:tc>
        <w:tc>
          <w:tcPr>
            <w:tcW w:type="dxa" w:w="3200"/>
            <w:vAlign w:val="top"/>
          </w:tcPr>
          <w:p>
            <w:r/>
            <w:r>
              <w:rPr>
                <w:rFonts w:ascii="Arial" w:hAnsi="Arial"/>
                <w:b w:val="0"/>
                <w:sz w:val="16"/>
              </w:rPr>
              <w:t>Kuntillet Ajrud, Khirbet el-Qom, Figurinen, biblische Polemik.</w:t>
            </w:r>
          </w:p>
        </w:tc>
        <w:tc>
          <w:tcPr>
            <w:tcW w:type="dxa" w:w="1500"/>
            <w:vAlign w:val="top"/>
          </w:tcPr>
          <w:p>
            <w:r/>
            <w:r>
              <w:rPr>
                <w:rFonts w:ascii="Arial" w:hAnsi="Arial"/>
                <w:b w:val="0"/>
                <w:sz w:val="16"/>
              </w:rPr>
              <w:t>Als Streitdossier fortfuehren: Goettin, Kultsymbol, Hypostase trennen.</w:t>
            </w:r>
          </w:p>
        </w:tc>
      </w:tr>
      <w:tr>
        <w:tc>
          <w:tcPr>
            <w:tcW w:type="dxa" w:w="1800"/>
            <w:vAlign w:val="top"/>
          </w:tcPr>
          <w:p>
            <w:r/>
            <w:r>
              <w:rPr>
                <w:rFonts w:ascii="Arial" w:hAnsi="Arial"/>
                <w:b w:val="0"/>
                <w:sz w:val="16"/>
              </w:rPr>
              <w:t>Anunnaki und Elohim sind identisch.</w:t>
            </w:r>
          </w:p>
        </w:tc>
        <w:tc>
          <w:tcPr>
            <w:tcW w:type="dxa" w:w="2500"/>
            <w:vAlign w:val="top"/>
          </w:tcPr>
          <w:p>
            <w:r/>
            <w:r>
              <w:rPr>
                <w:rFonts w:ascii="Arial" w:hAnsi="Arial"/>
                <w:b w:val="0"/>
                <w:sz w:val="16"/>
              </w:rPr>
              <w:t>Verworfen/nicht belegt</w:t>
            </w:r>
          </w:p>
        </w:tc>
        <w:tc>
          <w:tcPr>
            <w:tcW w:type="dxa" w:w="3200"/>
            <w:vAlign w:val="top"/>
          </w:tcPr>
          <w:p>
            <w:r/>
            <w:r>
              <w:rPr>
                <w:rFonts w:ascii="Arial" w:hAnsi="Arial"/>
                <w:b w:val="0"/>
                <w:sz w:val="16"/>
              </w:rPr>
              <w:t>Unterschiedliche Sprachen, Korpora, Funktionen und Traditionslinien.</w:t>
            </w:r>
          </w:p>
        </w:tc>
        <w:tc>
          <w:tcPr>
            <w:tcW w:type="dxa" w:w="1500"/>
            <w:vAlign w:val="top"/>
          </w:tcPr>
          <w:p>
            <w:r/>
            <w:r>
              <w:rPr>
                <w:rFonts w:ascii="Arial" w:hAnsi="Arial"/>
                <w:b w:val="0"/>
                <w:sz w:val="16"/>
              </w:rPr>
              <w:t>Nur als Vergleichs- und Einflussfrage behandeln.</w:t>
            </w:r>
          </w:p>
        </w:tc>
      </w:tr>
      <w:tr>
        <w:tc>
          <w:tcPr>
            <w:tcW w:type="dxa" w:w="1800"/>
            <w:vAlign w:val="top"/>
          </w:tcPr>
          <w:p>
            <w:r/>
            <w:r>
              <w:rPr>
                <w:rFonts w:ascii="Arial" w:hAnsi="Arial"/>
                <w:b w:val="0"/>
                <w:sz w:val="16"/>
              </w:rPr>
              <w:t>Biblischer Monotheismus loest das Gewaltproblem.</w:t>
            </w:r>
          </w:p>
        </w:tc>
        <w:tc>
          <w:tcPr>
            <w:tcW w:type="dxa" w:w="2500"/>
            <w:vAlign w:val="top"/>
          </w:tcPr>
          <w:p>
            <w:r/>
            <w:r>
              <w:rPr>
                <w:rFonts w:ascii="Arial" w:hAnsi="Arial"/>
                <w:b w:val="0"/>
                <w:sz w:val="16"/>
              </w:rPr>
              <w:t>Nicht haltbar</w:t>
            </w:r>
          </w:p>
        </w:tc>
        <w:tc>
          <w:tcPr>
            <w:tcW w:type="dxa" w:w="3200"/>
            <w:vAlign w:val="top"/>
          </w:tcPr>
          <w:p>
            <w:r/>
            <w:r>
              <w:rPr>
                <w:rFonts w:ascii="Arial" w:hAnsi="Arial"/>
                <w:b w:val="0"/>
                <w:sz w:val="16"/>
              </w:rPr>
              <w:t>Herem, Plagen, Opfer, Gericht und Exklusivitaet werden im einen Gott konzentriert.</w:t>
            </w:r>
          </w:p>
        </w:tc>
        <w:tc>
          <w:tcPr>
            <w:tcW w:type="dxa" w:w="1500"/>
            <w:vAlign w:val="top"/>
          </w:tcPr>
          <w:p>
            <w:r/>
            <w:r>
              <w:rPr>
                <w:rFonts w:ascii="Arial" w:hAnsi="Arial"/>
                <w:b w:val="0"/>
                <w:sz w:val="16"/>
              </w:rPr>
              <w:t>Als ethische Kernspannung herausarbeiten.</w:t>
            </w:r>
          </w:p>
        </w:tc>
      </w:tr>
      <w:tr>
        <w:tc>
          <w:tcPr>
            <w:tcW w:type="dxa" w:w="1800"/>
            <w:vAlign w:val="top"/>
          </w:tcPr>
          <w:p>
            <w:r/>
            <w:r>
              <w:rPr>
                <w:rFonts w:ascii="Arial" w:hAnsi="Arial"/>
                <w:b w:val="0"/>
                <w:sz w:val="16"/>
              </w:rPr>
              <w:t>Second-Temple-Literatur deutet himmlische Mehrzahl neu.</w:t>
            </w:r>
          </w:p>
        </w:tc>
        <w:tc>
          <w:tcPr>
            <w:tcW w:type="dxa" w:w="2500"/>
            <w:vAlign w:val="top"/>
          </w:tcPr>
          <w:p>
            <w:r/>
            <w:r>
              <w:rPr>
                <w:rFonts w:ascii="Arial" w:hAnsi="Arial"/>
                <w:b w:val="0"/>
                <w:sz w:val="16"/>
              </w:rPr>
              <w:t>Belastbares Ergebnis fuer spaetere Phase</w:t>
            </w:r>
          </w:p>
        </w:tc>
        <w:tc>
          <w:tcPr>
            <w:tcW w:type="dxa" w:w="3200"/>
            <w:vAlign w:val="top"/>
          </w:tcPr>
          <w:p>
            <w:r/>
            <w:r>
              <w:rPr>
                <w:rFonts w:ascii="Arial" w:hAnsi="Arial"/>
                <w:b w:val="0"/>
                <w:sz w:val="16"/>
              </w:rPr>
              <w:t>1 Henoch, Jubilaeen, DSS, Belial, Mastema, Michael, Waechter.</w:t>
            </w:r>
          </w:p>
        </w:tc>
        <w:tc>
          <w:tcPr>
            <w:tcW w:type="dxa" w:w="1500"/>
            <w:vAlign w:val="top"/>
          </w:tcPr>
          <w:p>
            <w:r/>
            <w:r>
              <w:rPr>
                <w:rFonts w:ascii="Arial" w:hAnsi="Arial"/>
                <w:b w:val="0"/>
                <w:sz w:val="16"/>
              </w:rPr>
              <w:t>Nicht in die fruehisraelitische Phase zurueckprojizieren.</w:t>
            </w:r>
          </w:p>
        </w:tc>
      </w:tr>
    </w:tbl>
    <w:p>
      <w:pPr>
        <w:pStyle w:val="Heading2"/>
      </w:pPr>
      <w:r>
        <w:t>4. Rest-Fussnoten- und Endnoten-Umsetzungsplan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Nr.</w:t>
            </w:r>
          </w:p>
        </w:tc>
        <w:tc>
          <w:tcPr>
            <w:tcW w:type="dxa" w:w="2500"/>
            <w:vAlign w:val="top"/>
            <w:shd w:fill="F1F3F4"/>
          </w:tcPr>
          <w:p>
            <w:r/>
            <w:r>
              <w:rPr>
                <w:rFonts w:ascii="Arial" w:hAnsi="Arial"/>
                <w:b/>
                <w:sz w:val="16"/>
              </w:rPr>
              <w:t>Schritt</w:t>
            </w:r>
          </w:p>
        </w:tc>
        <w:tc>
          <w:tcPr>
            <w:tcW w:type="dxa" w:w="3200"/>
            <w:vAlign w:val="top"/>
            <w:shd w:fill="F1F3F4"/>
          </w:tcPr>
          <w:p>
            <w:r/>
            <w:r>
              <w:rPr>
                <w:rFonts w:ascii="Arial" w:hAnsi="Arial"/>
                <w:b/>
                <w:sz w:val="16"/>
              </w:rPr>
              <w:t>Ziel</w:t>
            </w:r>
          </w:p>
        </w:tc>
        <w:tc>
          <w:tcPr>
            <w:tcW w:type="dxa" w:w="1500"/>
            <w:vAlign w:val="top"/>
            <w:shd w:fill="F1F3F4"/>
          </w:tcPr>
          <w:p>
            <w:r/>
            <w:r>
              <w:rPr>
                <w:rFonts w:ascii="Arial" w:hAnsi="Arial"/>
                <w:b/>
                <w:sz w:val="16"/>
              </w:rPr>
              <w:t>Status</w:t>
            </w:r>
          </w:p>
        </w:tc>
      </w:tr>
      <w:tr>
        <w:tc>
          <w:tcPr>
            <w:tcW w:type="dxa" w:w="1800"/>
            <w:vAlign w:val="top"/>
          </w:tcPr>
          <w:p>
            <w:r/>
            <w:r>
              <w:rPr>
                <w:rFonts w:ascii="Arial" w:hAnsi="Arial"/>
                <w:b w:val="0"/>
                <w:sz w:val="16"/>
              </w:rPr>
              <w:t>1</w:t>
            </w:r>
          </w:p>
        </w:tc>
        <w:tc>
          <w:tcPr>
            <w:tcW w:type="dxa" w:w="2500"/>
            <w:vAlign w:val="top"/>
          </w:tcPr>
          <w:p>
            <w:r/>
            <w:r>
              <w:rPr>
                <w:rFonts w:ascii="Arial" w:hAnsi="Arial"/>
                <w:b w:val="0"/>
                <w:sz w:val="16"/>
              </w:rPr>
              <w:t>Kapitelquellen sammeln</w:t>
            </w:r>
          </w:p>
        </w:tc>
        <w:tc>
          <w:tcPr>
            <w:tcW w:type="dxa" w:w="3200"/>
            <w:vAlign w:val="top"/>
          </w:tcPr>
          <w:p>
            <w:r/>
            <w:r>
              <w:rPr>
                <w:rFonts w:ascii="Arial" w:hAnsi="Arial"/>
                <w:b w:val="0"/>
                <w:sz w:val="16"/>
              </w:rPr>
              <w:t>Alle Quellenlisten aus Kapitel 1-10 in eine zentrale Bibliographie-Tabelle ueberfuehren.</w:t>
            </w:r>
          </w:p>
        </w:tc>
        <w:tc>
          <w:tcPr>
            <w:tcW w:type="dxa" w:w="1500"/>
            <w:vAlign w:val="top"/>
          </w:tcPr>
          <w:p>
            <w:r/>
            <w:r>
              <w:rPr>
                <w:rFonts w:ascii="Arial" w:hAnsi="Arial"/>
                <w:b w:val="0"/>
                <w:sz w:val="16"/>
              </w:rPr>
              <w:t>Teilweise erledigt</w:t>
            </w:r>
          </w:p>
        </w:tc>
      </w:tr>
      <w:tr>
        <w:tc>
          <w:tcPr>
            <w:tcW w:type="dxa" w:w="1800"/>
            <w:vAlign w:val="top"/>
          </w:tcPr>
          <w:p>
            <w:r/>
            <w:r>
              <w:rPr>
                <w:rFonts w:ascii="Arial" w:hAnsi="Arial"/>
                <w:b w:val="0"/>
                <w:sz w:val="16"/>
              </w:rPr>
              <w:t>2</w:t>
            </w:r>
          </w:p>
        </w:tc>
        <w:tc>
          <w:tcPr>
            <w:tcW w:type="dxa" w:w="2500"/>
            <w:vAlign w:val="top"/>
          </w:tcPr>
          <w:p>
            <w:r/>
            <w:r>
              <w:rPr>
                <w:rFonts w:ascii="Arial" w:hAnsi="Arial"/>
                <w:b w:val="0"/>
                <w:sz w:val="16"/>
              </w:rPr>
              <w:t>Kurzbelege setzen</w:t>
            </w:r>
          </w:p>
        </w:tc>
        <w:tc>
          <w:tcPr>
            <w:tcW w:type="dxa" w:w="3200"/>
            <w:vAlign w:val="top"/>
          </w:tcPr>
          <w:p>
            <w:r/>
            <w:r>
              <w:rPr>
                <w:rFonts w:ascii="Arial" w:hAnsi="Arial"/>
                <w:b w:val="0"/>
                <w:sz w:val="16"/>
              </w:rPr>
              <w:t>Kapitel 1-14 und Anlage N besitzen echte Fussnoten; ausgewaehlte Anlagen sind im Anlagenverzeichnis nachgewiesen.</w:t>
            </w:r>
          </w:p>
        </w:tc>
        <w:tc>
          <w:tcPr>
            <w:tcW w:type="dxa" w:w="1500"/>
            <w:vAlign w:val="top"/>
          </w:tcPr>
          <w:p>
            <w:r/>
            <w:r>
              <w:rPr>
                <w:rFonts w:ascii="Arial" w:hAnsi="Arial"/>
                <w:b w:val="0"/>
                <w:sz w:val="16"/>
              </w:rPr>
              <w:t>Erledigt V1</w:t>
            </w:r>
          </w:p>
        </w:tc>
      </w:tr>
      <w:tr>
        <w:tc>
          <w:tcPr>
            <w:tcW w:type="dxa" w:w="1800"/>
            <w:vAlign w:val="top"/>
          </w:tcPr>
          <w:p>
            <w:r/>
            <w:r>
              <w:rPr>
                <w:rFonts w:ascii="Arial" w:hAnsi="Arial"/>
                <w:b w:val="0"/>
                <w:sz w:val="16"/>
              </w:rPr>
              <w:t>3</w:t>
            </w:r>
          </w:p>
        </w:tc>
        <w:tc>
          <w:tcPr>
            <w:tcW w:type="dxa" w:w="2500"/>
            <w:vAlign w:val="top"/>
          </w:tcPr>
          <w:p>
            <w:r/>
            <w:r>
              <w:rPr>
                <w:rFonts w:ascii="Arial" w:hAnsi="Arial"/>
                <w:b w:val="0"/>
                <w:sz w:val="16"/>
              </w:rPr>
              <w:t>Primaertexte priorisieren</w:t>
            </w:r>
          </w:p>
        </w:tc>
        <w:tc>
          <w:tcPr>
            <w:tcW w:type="dxa" w:w="3200"/>
            <w:vAlign w:val="top"/>
          </w:tcPr>
          <w:p>
            <w:r/>
            <w:r>
              <w:rPr>
                <w:rFonts w:ascii="Arial" w:hAnsi="Arial"/>
                <w:b w:val="0"/>
                <w:sz w:val="16"/>
              </w:rPr>
              <w:t>Bibelstellen, Ugarit, DSS, Inschriften und 1 Henoch/Jubilaeen zuerst belegen.</w:t>
            </w:r>
          </w:p>
        </w:tc>
        <w:tc>
          <w:tcPr>
            <w:tcW w:type="dxa" w:w="1500"/>
            <w:vAlign w:val="top"/>
          </w:tcPr>
          <w:p>
            <w:r/>
            <w:r>
              <w:rPr>
                <w:rFonts w:ascii="Arial" w:hAnsi="Arial"/>
                <w:b w:val="0"/>
                <w:sz w:val="16"/>
              </w:rPr>
              <w:t>Teilweise erledigt</w:t>
            </w:r>
          </w:p>
        </w:tc>
      </w:tr>
      <w:tr>
        <w:tc>
          <w:tcPr>
            <w:tcW w:type="dxa" w:w="1800"/>
            <w:vAlign w:val="top"/>
          </w:tcPr>
          <w:p>
            <w:r/>
            <w:r>
              <w:rPr>
                <w:rFonts w:ascii="Arial" w:hAnsi="Arial"/>
                <w:b w:val="0"/>
                <w:sz w:val="16"/>
              </w:rPr>
              <w:t>4</w:t>
            </w:r>
          </w:p>
        </w:tc>
        <w:tc>
          <w:tcPr>
            <w:tcW w:type="dxa" w:w="2500"/>
            <w:vAlign w:val="top"/>
          </w:tcPr>
          <w:p>
            <w:r/>
            <w:r>
              <w:rPr>
                <w:rFonts w:ascii="Arial" w:hAnsi="Arial"/>
                <w:b w:val="0"/>
                <w:sz w:val="16"/>
              </w:rPr>
              <w:t>Sekundaerliteratur normalisieren</w:t>
            </w:r>
          </w:p>
        </w:tc>
        <w:tc>
          <w:tcPr>
            <w:tcW w:type="dxa" w:w="3200"/>
            <w:vAlign w:val="top"/>
          </w:tcPr>
          <w:p>
            <w:r/>
            <w:r>
              <w:rPr>
                <w:rFonts w:ascii="Arial" w:hAnsi="Arial"/>
                <w:b w:val="0"/>
                <w:sz w:val="16"/>
              </w:rPr>
              <w:t>Monographien, Aufsaetze, DOI, URL und Abrufdatum vereinheitlichen.</w:t>
            </w:r>
          </w:p>
        </w:tc>
        <w:tc>
          <w:tcPr>
            <w:tcW w:type="dxa" w:w="1500"/>
            <w:vAlign w:val="top"/>
          </w:tcPr>
          <w:p>
            <w:r/>
            <w:r>
              <w:rPr>
                <w:rFonts w:ascii="Arial" w:hAnsi="Arial"/>
                <w:b w:val="0"/>
                <w:sz w:val="16"/>
              </w:rPr>
              <w:t>Offen</w:t>
            </w:r>
          </w:p>
        </w:tc>
      </w:tr>
      <w:tr>
        <w:tc>
          <w:tcPr>
            <w:tcW w:type="dxa" w:w="1800"/>
            <w:vAlign w:val="top"/>
          </w:tcPr>
          <w:p>
            <w:r/>
            <w:r>
              <w:rPr>
                <w:rFonts w:ascii="Arial" w:hAnsi="Arial"/>
                <w:b w:val="0"/>
                <w:sz w:val="16"/>
              </w:rPr>
              <w:t>5</w:t>
            </w:r>
          </w:p>
        </w:tc>
        <w:tc>
          <w:tcPr>
            <w:tcW w:type="dxa" w:w="2500"/>
            <w:vAlign w:val="top"/>
          </w:tcPr>
          <w:p>
            <w:r/>
            <w:r>
              <w:rPr>
                <w:rFonts w:ascii="Arial" w:hAnsi="Arial"/>
                <w:b w:val="0"/>
                <w:sz w:val="16"/>
              </w:rPr>
              <w:t>Arbeitsnotizen abgrenzen</w:t>
            </w:r>
          </w:p>
        </w:tc>
        <w:tc>
          <w:tcPr>
            <w:tcW w:type="dxa" w:w="3200"/>
            <w:vAlign w:val="top"/>
          </w:tcPr>
          <w:p>
            <w:r/>
            <w:r>
              <w:rPr>
                <w:rFonts w:ascii="Arial" w:hAnsi="Arial"/>
                <w:b w:val="0"/>
                <w:sz w:val="16"/>
              </w:rPr>
              <w:t>Anlagen A-N nur als interne Arbeitsgrundlage ausweisen.</w:t>
            </w:r>
          </w:p>
        </w:tc>
        <w:tc>
          <w:tcPr>
            <w:tcW w:type="dxa" w:w="1500"/>
            <w:vAlign w:val="top"/>
          </w:tcPr>
          <w:p>
            <w:r/>
            <w:r>
              <w:rPr>
                <w:rFonts w:ascii="Arial" w:hAnsi="Arial"/>
                <w:b w:val="0"/>
                <w:sz w:val="16"/>
              </w:rPr>
              <w:t>Offen</w:t>
            </w:r>
          </w:p>
        </w:tc>
      </w:tr>
      <w:tr>
        <w:tc>
          <w:tcPr>
            <w:tcW w:type="dxa" w:w="1800"/>
            <w:vAlign w:val="top"/>
          </w:tcPr>
          <w:p>
            <w:r/>
            <w:r>
              <w:rPr>
                <w:rFonts w:ascii="Arial" w:hAnsi="Arial"/>
                <w:b w:val="0"/>
                <w:sz w:val="16"/>
              </w:rPr>
              <w:t>6</w:t>
            </w:r>
          </w:p>
        </w:tc>
        <w:tc>
          <w:tcPr>
            <w:tcW w:type="dxa" w:w="2500"/>
            <w:vAlign w:val="top"/>
          </w:tcPr>
          <w:p>
            <w:r/>
            <w:r>
              <w:rPr>
                <w:rFonts w:ascii="Arial" w:hAnsi="Arial"/>
                <w:b w:val="0"/>
                <w:sz w:val="16"/>
              </w:rPr>
              <w:t>Dopplungen entfernen</w:t>
            </w:r>
          </w:p>
        </w:tc>
        <w:tc>
          <w:tcPr>
            <w:tcW w:type="dxa" w:w="3200"/>
            <w:vAlign w:val="top"/>
          </w:tcPr>
          <w:p>
            <w:r/>
            <w:r>
              <w:rPr>
                <w:rFonts w:ascii="Arial" w:hAnsi="Arial"/>
                <w:b w:val="0"/>
                <w:sz w:val="16"/>
              </w:rPr>
              <w:t>Alten Hauptteil und Anlagen im Druckdokument kuerzen oder als Archivanhang belassen.</w:t>
            </w:r>
          </w:p>
        </w:tc>
        <w:tc>
          <w:tcPr>
            <w:tcW w:type="dxa" w:w="1500"/>
            <w:vAlign w:val="top"/>
          </w:tcPr>
          <w:p>
            <w:r/>
            <w:r>
              <w:rPr>
                <w:rFonts w:ascii="Arial" w:hAnsi="Arial"/>
                <w:b w:val="0"/>
                <w:sz w:val="16"/>
              </w:rPr>
              <w:t>Offen</w:t>
            </w:r>
          </w:p>
        </w:tc>
      </w:tr>
      <w:tr>
        <w:tc>
          <w:tcPr>
            <w:tcW w:type="dxa" w:w="1800"/>
            <w:vAlign w:val="top"/>
          </w:tcPr>
          <w:p>
            <w:r/>
            <w:r>
              <w:rPr>
                <w:rFonts w:ascii="Arial" w:hAnsi="Arial"/>
                <w:b w:val="0"/>
                <w:sz w:val="16"/>
              </w:rPr>
              <w:t>7</w:t>
            </w:r>
          </w:p>
        </w:tc>
        <w:tc>
          <w:tcPr>
            <w:tcW w:type="dxa" w:w="2500"/>
            <w:vAlign w:val="top"/>
          </w:tcPr>
          <w:p>
            <w:r/>
            <w:r>
              <w:rPr>
                <w:rFonts w:ascii="Arial" w:hAnsi="Arial"/>
                <w:b w:val="0"/>
                <w:sz w:val="16"/>
              </w:rPr>
              <w:t>Schlusskapitel finalisieren</w:t>
            </w:r>
          </w:p>
        </w:tc>
        <w:tc>
          <w:tcPr>
            <w:tcW w:type="dxa" w:w="3200"/>
            <w:vAlign w:val="top"/>
          </w:tcPr>
          <w:p>
            <w:r/>
            <w:r>
              <w:rPr>
                <w:rFonts w:ascii="Arial" w:hAnsi="Arial"/>
                <w:b w:val="0"/>
                <w:sz w:val="16"/>
              </w:rPr>
              <w:t>Schlussbewertung nach Fussnotenpruefung sprachlich schaerfen.</w:t>
            </w:r>
          </w:p>
        </w:tc>
        <w:tc>
          <w:tcPr>
            <w:tcW w:type="dxa" w:w="1500"/>
            <w:vAlign w:val="top"/>
          </w:tcPr>
          <w:p>
            <w:r/>
            <w:r>
              <w:rPr>
                <w:rFonts w:ascii="Arial" w:hAnsi="Arial"/>
                <w:b w:val="0"/>
                <w:sz w:val="16"/>
              </w:rPr>
              <w:t>Offen</w:t>
            </w:r>
          </w:p>
        </w:tc>
      </w:tr>
    </w:tbl>
    <w:p>
      <w:pPr>
        <w:pStyle w:val="Heading2"/>
      </w:pPr>
      <w:r>
        <w:t>5. Endurteil zur Hauptthese</w:t>
      </w:r>
    </w:p>
    <w:p>
      <w:r>
        <w:rPr>
          <w:rFonts w:ascii="Arial" w:hAnsi="Arial"/>
        </w:rPr>
        <w:t>Das vorlaeufige Endurteil lautet: Die Ausgangsintuition trifft einen wichtigen historischen Kern, wenn sie beobachtet, dass spaetere Gottesbilder Namen, Titel, Funktionen und Motive aelterer Gottheiten aufnehmen. Sie geht aber zu weit, wenn daraus eine direkte Identitaet aller Gottheiten abgeleitet wird. Wissenschaftlich tragfaehig ist nicht die These 'derselbe Gott unter vielen Namen', sondern die These eines langfristigen Transformations-, Identifikations- und Absorptionsprozesses innerhalb konkreter Kulturen.</w:t>
      </w:r>
      <w:r>
        <w:footnoteReference w:id="90"/>
      </w:r>
    </w:p>
    <w:p>
      <w:r>
        <w:rPr>
          <w:rFonts w:ascii="Arial" w:hAnsi="Arial"/>
        </w:rPr>
        <w:t>Fuer JHWH bedeutet das: Die Bezeichnung des Gottes der heutigen drei grossen monotheistischen Religionen kann theologisch auf denselben einen Gott bezogen werden; religionsgeschichtlich ist dieser Gott jedoch nicht ohne Vorgeschichte. Sein biblisches Profil entsteht durch die Verbindung von El-Traditionen, JHWH-Israel-Patronat, Baal/Hadad-Motiven, Aschera-Konflikten, Exiltheologie, spaeter Engel- und Daemonenlehre sowie monotheistischer Neuinterpretation. Genau diese Schichtung ist der eigentliche Erkenntnisgewinn der Arbeit.</w:t>
      </w:r>
    </w:p>
    <w:p>
      <w:r>
        <w:rPr>
          <w:rFonts w:ascii="Arial" w:hAnsi="Arial"/>
        </w:rPr>
        <w:t>Damit ist die Forschung nicht abgeschlossen, aber sie hat einen belastbaren Mittelpunkt: Nicht ein einzelner unveraenderter Gott wandert einfach durch alle Kulturen, sondern Kulturen deuten, uebersetzen, verschmelzen, bekaempfen und hierarchisieren goettliche Figuren. Der biblische Monotheismus ist das spaete Ergebnis einer solchen Hierarchisierung, nicht ihr voraussetzungsloser Anfang.</w:t>
      </w:r>
    </w:p>
    <w:p>
      <w:pPr>
        <w:pStyle w:val="Heading2"/>
      </w:pPr>
      <w:r>
        <w:t>6. Ergebnis und Kapitelstatus</w:t>
      </w:r>
    </w:p>
    <w:p>
      <w:r>
        <w:rPr>
          <w:rFonts w:ascii="Arial" w:hAnsi="Arial"/>
        </w:rPr>
        <w:t>Kapitel 11 liegt als druckreife Endfassungsgrundlage V1 vor. Es bietet ein thematisch sortiertes Literaturverzeichnis V1, eine Schlussbewertung, eine Ergebnismatrix, eine Liste der Forschungsgrenzen, einen dokumentierten Fussnoten-/Endnotenstand und ein Endurteil zur Hauptthese. Damit ist die inhaltliche Arbeitsfassung fuer die Druckfassung V1 geschlossen: Neue Inhaltsproduktion tritt hinter wissenschaftliche Pflege, Quellenpflege und spaetere Feinnormalisierung zurueck.</w:t>
      </w:r>
    </w:p>
    <w:p>
      <w:pPr>
        <w:pStyle w:val="Heading2"/>
      </w:pPr>
      <w:r>
        <w:t>7. Druckreifepruefung Kapitel 11</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Endfassungsgrundlage geschlossen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Literaturapparat, Schlussbewertung, Ergebnismatrix und Forschungsgrenzen sind zusammengefuehrt.</w:t>
            </w:r>
          </w:p>
        </w:tc>
      </w:tr>
      <w:tr>
        <w:tc>
          <w:tcPr>
            <w:tcW w:type="dxa" w:w="2400"/>
            <w:vAlign w:val="top"/>
          </w:tcPr>
          <w:p>
            <w:r/>
            <w:r>
              <w:rPr>
                <w:rFonts w:ascii="Arial" w:hAnsi="Arial"/>
                <w:b w:val="0"/>
                <w:sz w:val="16"/>
              </w:rPr>
              <w:t>Endurteil sichtbar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Die Hauptthese wird als Transformationsmodell, nicht als Universalidentitaet bewertet.</w:t>
            </w:r>
          </w:p>
        </w:tc>
      </w:tr>
      <w:tr>
        <w:tc>
          <w:tcPr>
            <w:tcW w:type="dxa" w:w="2400"/>
            <w:vAlign w:val="top"/>
          </w:tcPr>
          <w:p>
            <w:r/>
            <w:r>
              <w:rPr>
                <w:rFonts w:ascii="Arial" w:hAnsi="Arial"/>
                <w:b w:val="0"/>
                <w:sz w:val="16"/>
              </w:rPr>
              <w:t>Restarbeiten markiert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Fussnoten-/Endnotenreste und Literaturvereinheitlichung bleiben als technische Endredaktion sichtbar.</w:t>
            </w:r>
          </w:p>
        </w:tc>
      </w:tr>
      <w:tr>
        <w:tc>
          <w:tcPr>
            <w:tcW w:type="dxa" w:w="2400"/>
            <w:vAlign w:val="top"/>
          </w:tcPr>
          <w:p>
            <w:r/>
            <w:r>
              <w:rPr>
                <w:rFonts w:ascii="Arial" w:hAnsi="Arial"/>
                <w:b w:val="0"/>
                <w:sz w:val="16"/>
              </w:rPr>
              <w:t>Publikationsstil</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Das Kapitel ist als sachlicher Redaktionsabschluss formuliert.</w:t>
            </w:r>
          </w:p>
        </w:tc>
      </w:tr>
    </w:tbl>
    <w:p>
      <w:r>
        <w:br w:type="page"/>
      </w:r>
    </w:p>
    <w:p>
      <w:pPr>
        <w:pStyle w:val="Heading1"/>
      </w:pPr>
      <w:r>
        <w:t>Kapitel 12: Quellenapparat und Endredaktions-Pilot</w:t>
      </w:r>
    </w:p>
    <w:p>
      <w:r>
        <w:rPr>
          <w:rFonts w:ascii="Arial" w:hAnsi="Arial"/>
        </w:rPr>
        <w:t>Leitfrage: Wie wird aus der bisherigen Arbeitsfassung eine wissenschaftlich pruefbare Fassung mit nachvollziehbaren Belegen? Dieses Kapitel dokumentiert den Endredaktions-Pilot der Druckfassung V1. Die echte Fussnotenarbeit ist inzwischen umgesetzt: Die Antwortkapitel 1 bis 14 sowie Anlage N besitzen echte Word-Fussnoten. Der Gesamtapparat ist als Quellenebenenapparat vereinheitlicht; ausgewaehlte Anlagenstellen bleiben als Nachweis- und Archivmaterial ausgewiesen.</w:t>
      </w:r>
      <w:r>
        <w:footnoteReference w:id="91"/>
      </w:r>
    </w:p>
    <w:p>
      <w:pPr>
        <w:pStyle w:val="Heading2"/>
      </w:pPr>
      <w:r>
        <w:t>1. Ergebnis in Kurzform</w:t>
      </w:r>
    </w:p>
    <w:p>
      <w:r>
        <w:rPr>
          <w:rFonts w:ascii="Arial" w:hAnsi="Arial"/>
        </w:rPr>
        <w:t>Die bisherige Ausarbeitung befindet sich bereits in der technischen Belegphase. Die zentrale Aufgabe besteht nun nicht mehr darin, immer neue Themen anzufuegen, sondern die vorhandenen Hauptargumente mit eindeutigen Belegankern, echten Fussnoten und einem konsistenten Literaturapparat abzusichern. Fuer eine wissenschaftlich serioese Fassung muessen drei Ebenen getrennt bleiben: antike Primaertexte, archaeologische oder epigraphische Befunde und moderne Forschungsauswertung.</w:t>
      </w:r>
      <w:r>
        <w:footnoteReference w:id="92"/>
      </w:r>
    </w:p>
    <w:p>
      <w:pPr>
        <w:pStyle w:val="ListBullet"/>
      </w:pPr>
      <w:r>
        <w:rPr>
          <w:rFonts w:ascii="Arial" w:hAnsi="Arial"/>
        </w:rPr>
        <w:t>Primaertexte haben Vorrang: Bibelstellen, Textvarianten, ugaritische Texte, Inschriften, Qumran/DSS, 1 Henoch und Jubilaeen.</w:t>
      </w:r>
    </w:p>
    <w:p>
      <w:pPr>
        <w:pStyle w:val="ListBullet"/>
      </w:pPr>
      <w:r>
        <w:rPr>
          <w:rFonts w:ascii="Arial" w:hAnsi="Arial"/>
        </w:rPr>
        <w:t>Sekundaerliteratur erklaert und bewertet, ersetzt aber nicht den Primaerbefund.</w:t>
      </w:r>
    </w:p>
    <w:p>
      <w:pPr>
        <w:pStyle w:val="ListBullet"/>
      </w:pPr>
      <w:r>
        <w:rPr>
          <w:rFonts w:ascii="Arial" w:hAnsi="Arial"/>
        </w:rPr>
        <w:t>Arbeitsdokumente und YouTube-/PDF-Mitschriften bleiben interne Impulsquellen und duerfen nicht wie externe wissenschaftliche Evidenz behandelt werden.</w:t>
      </w:r>
    </w:p>
    <w:p>
      <w:pPr>
        <w:pStyle w:val="ListBullet"/>
      </w:pPr>
      <w:r>
        <w:rPr>
          <w:rFonts w:ascii="Arial" w:hAnsi="Arial"/>
        </w:rPr>
        <w:t>Die harte Identitaetsthese 'alle Gottheiten sind derselbe Gott' bleibt nicht belegt; die Transformationsthese bleibt die belastbare Hauptlinie und ist bereits in Kapitel 9 bis 11 als Schlussmodell fixiert.</w:t>
      </w:r>
    </w:p>
    <w:p>
      <w:pPr>
        <w:pStyle w:val="Heading2"/>
      </w:pPr>
      <w:r>
        <w:t>2. Belegstandard fuer die Endfassung</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Ebene</w:t>
            </w:r>
          </w:p>
        </w:tc>
        <w:tc>
          <w:tcPr>
            <w:tcW w:type="dxa" w:w="2500"/>
            <w:vAlign w:val="top"/>
            <w:shd w:fill="F1F3F4"/>
          </w:tcPr>
          <w:p>
            <w:r/>
            <w:r>
              <w:rPr>
                <w:rFonts w:ascii="Arial" w:hAnsi="Arial"/>
                <w:b/>
                <w:sz w:val="16"/>
              </w:rPr>
              <w:t>Material</w:t>
            </w:r>
          </w:p>
        </w:tc>
        <w:tc>
          <w:tcPr>
            <w:tcW w:type="dxa" w:w="3200"/>
            <w:vAlign w:val="top"/>
            <w:shd w:fill="F1F3F4"/>
          </w:tcPr>
          <w:p>
            <w:r/>
            <w:r>
              <w:rPr>
                <w:rFonts w:ascii="Arial" w:hAnsi="Arial"/>
                <w:b/>
                <w:sz w:val="16"/>
              </w:rPr>
              <w:t>Verwendung</w:t>
            </w:r>
          </w:p>
        </w:tc>
        <w:tc>
          <w:tcPr>
            <w:tcW w:type="dxa" w:w="1500"/>
            <w:vAlign w:val="top"/>
            <w:shd w:fill="F1F3F4"/>
          </w:tcPr>
          <w:p>
            <w:r/>
            <w:r>
              <w:rPr>
                <w:rFonts w:ascii="Arial" w:hAnsi="Arial"/>
                <w:b/>
                <w:sz w:val="16"/>
              </w:rPr>
              <w:t>Status</w:t>
            </w:r>
          </w:p>
        </w:tc>
      </w:tr>
      <w:tr>
        <w:tc>
          <w:tcPr>
            <w:tcW w:type="dxa" w:w="1800"/>
            <w:vAlign w:val="top"/>
          </w:tcPr>
          <w:p>
            <w:r/>
            <w:r>
              <w:rPr>
                <w:rFonts w:ascii="Arial" w:hAnsi="Arial"/>
                <w:b w:val="0"/>
                <w:sz w:val="16"/>
              </w:rPr>
              <w:t>Primaertext</w:t>
            </w:r>
          </w:p>
        </w:tc>
        <w:tc>
          <w:tcPr>
            <w:tcW w:type="dxa" w:w="2500"/>
            <w:vAlign w:val="top"/>
          </w:tcPr>
          <w:p>
            <w:r/>
            <w:r>
              <w:rPr>
                <w:rFonts w:ascii="Arial" w:hAnsi="Arial"/>
                <w:b w:val="0"/>
                <w:sz w:val="16"/>
              </w:rPr>
              <w:t>Bibel, Ugarit, Inschrift, DSS, Henoch/Jubilaeen, mesopotamischer Text.</w:t>
            </w:r>
          </w:p>
        </w:tc>
        <w:tc>
          <w:tcPr>
            <w:tcW w:type="dxa" w:w="3200"/>
            <w:vAlign w:val="top"/>
          </w:tcPr>
          <w:p>
            <w:r/>
            <w:r>
              <w:rPr>
                <w:rFonts w:ascii="Arial" w:hAnsi="Arial"/>
                <w:b w:val="0"/>
                <w:sz w:val="16"/>
              </w:rPr>
              <w:t>Immer zuerst nennen; bei Textvarianten Handschrift/Version angeben.</w:t>
            </w:r>
          </w:p>
        </w:tc>
        <w:tc>
          <w:tcPr>
            <w:tcW w:type="dxa" w:w="1500"/>
            <w:vAlign w:val="top"/>
          </w:tcPr>
          <w:p>
            <w:r/>
            <w:r>
              <w:rPr>
                <w:rFonts w:ascii="Arial" w:hAnsi="Arial"/>
                <w:b w:val="0"/>
                <w:sz w:val="16"/>
              </w:rPr>
              <w:t>Pflicht</w:t>
            </w:r>
          </w:p>
        </w:tc>
      </w:tr>
      <w:tr>
        <w:tc>
          <w:tcPr>
            <w:tcW w:type="dxa" w:w="1800"/>
            <w:vAlign w:val="top"/>
          </w:tcPr>
          <w:p>
            <w:r/>
            <w:r>
              <w:rPr>
                <w:rFonts w:ascii="Arial" w:hAnsi="Arial"/>
                <w:b w:val="0"/>
                <w:sz w:val="16"/>
              </w:rPr>
              <w:t>Textkritik</w:t>
            </w:r>
          </w:p>
        </w:tc>
        <w:tc>
          <w:tcPr>
            <w:tcW w:type="dxa" w:w="2500"/>
            <w:vAlign w:val="top"/>
          </w:tcPr>
          <w:p>
            <w:r/>
            <w:r>
              <w:rPr>
                <w:rFonts w:ascii="Arial" w:hAnsi="Arial"/>
                <w:b w:val="0"/>
                <w:sz w:val="16"/>
              </w:rPr>
              <w:t>MT, 4QDeutj, LXX, Old Latin/Vulgata, Targum, Editionen.</w:t>
            </w:r>
          </w:p>
        </w:tc>
        <w:tc>
          <w:tcPr>
            <w:tcW w:type="dxa" w:w="3200"/>
            <w:vAlign w:val="top"/>
          </w:tcPr>
          <w:p>
            <w:r/>
            <w:r>
              <w:rPr>
                <w:rFonts w:ascii="Arial" w:hAnsi="Arial"/>
                <w:b w:val="0"/>
                <w:sz w:val="16"/>
              </w:rPr>
              <w:t>Besonders bei Dtn 32,8-9 und anderen Variantenstellen ausweisen.</w:t>
            </w:r>
          </w:p>
        </w:tc>
        <w:tc>
          <w:tcPr>
            <w:tcW w:type="dxa" w:w="1500"/>
            <w:vAlign w:val="top"/>
          </w:tcPr>
          <w:p>
            <w:r/>
            <w:r>
              <w:rPr>
                <w:rFonts w:ascii="Arial" w:hAnsi="Arial"/>
                <w:b w:val="0"/>
                <w:sz w:val="16"/>
              </w:rPr>
              <w:t>Pflicht bei Varianten</w:t>
            </w:r>
          </w:p>
        </w:tc>
      </w:tr>
      <w:tr>
        <w:tc>
          <w:tcPr>
            <w:tcW w:type="dxa" w:w="1800"/>
            <w:vAlign w:val="top"/>
          </w:tcPr>
          <w:p>
            <w:r/>
            <w:r>
              <w:rPr>
                <w:rFonts w:ascii="Arial" w:hAnsi="Arial"/>
                <w:b w:val="0"/>
                <w:sz w:val="16"/>
              </w:rPr>
              <w:t>Epigraphik/Archaeologie</w:t>
            </w:r>
          </w:p>
        </w:tc>
        <w:tc>
          <w:tcPr>
            <w:tcW w:type="dxa" w:w="2500"/>
            <w:vAlign w:val="top"/>
          </w:tcPr>
          <w:p>
            <w:r/>
            <w:r>
              <w:rPr>
                <w:rFonts w:ascii="Arial" w:hAnsi="Arial"/>
                <w:b w:val="0"/>
                <w:sz w:val="16"/>
              </w:rPr>
              <w:t>Kuntillet Ajrud, Khirbet el-Qom, Merenptah-Stele, Kultobjekte.</w:t>
            </w:r>
          </w:p>
        </w:tc>
        <w:tc>
          <w:tcPr>
            <w:tcW w:type="dxa" w:w="3200"/>
            <w:vAlign w:val="top"/>
          </w:tcPr>
          <w:p>
            <w:r/>
            <w:r>
              <w:rPr>
                <w:rFonts w:ascii="Arial" w:hAnsi="Arial"/>
                <w:b w:val="0"/>
                <w:sz w:val="16"/>
              </w:rPr>
              <w:t>Befund und Deutung trennen; unsichere Lesungen markieren.</w:t>
            </w:r>
          </w:p>
        </w:tc>
        <w:tc>
          <w:tcPr>
            <w:tcW w:type="dxa" w:w="1500"/>
            <w:vAlign w:val="top"/>
          </w:tcPr>
          <w:p>
            <w:r/>
            <w:r>
              <w:rPr>
                <w:rFonts w:ascii="Arial" w:hAnsi="Arial"/>
                <w:b w:val="0"/>
                <w:sz w:val="16"/>
              </w:rPr>
              <w:t>Pflicht</w:t>
            </w:r>
          </w:p>
        </w:tc>
      </w:tr>
      <w:tr>
        <w:tc>
          <w:tcPr>
            <w:tcW w:type="dxa" w:w="1800"/>
            <w:vAlign w:val="top"/>
          </w:tcPr>
          <w:p>
            <w:r/>
            <w:r>
              <w:rPr>
                <w:rFonts w:ascii="Arial" w:hAnsi="Arial"/>
                <w:b w:val="0"/>
                <w:sz w:val="16"/>
              </w:rPr>
              <w:t>Sekundaerliteratur</w:t>
            </w:r>
          </w:p>
        </w:tc>
        <w:tc>
          <w:tcPr>
            <w:tcW w:type="dxa" w:w="2500"/>
            <w:vAlign w:val="top"/>
          </w:tcPr>
          <w:p>
            <w:r/>
            <w:r>
              <w:rPr>
                <w:rFonts w:ascii="Arial" w:hAnsi="Arial"/>
                <w:b w:val="0"/>
                <w:sz w:val="16"/>
              </w:rPr>
              <w:t>Monographie, Aufsatz, Lexikonartikel, Datenbank.</w:t>
            </w:r>
          </w:p>
        </w:tc>
        <w:tc>
          <w:tcPr>
            <w:tcW w:type="dxa" w:w="3200"/>
            <w:vAlign w:val="top"/>
          </w:tcPr>
          <w:p>
            <w:r/>
            <w:r>
              <w:rPr>
                <w:rFonts w:ascii="Arial" w:hAnsi="Arial"/>
                <w:b w:val="0"/>
                <w:sz w:val="16"/>
              </w:rPr>
              <w:t>Autor, Jahr, Titel, Seite/Abschnitt, DOI/URL und Abrufdatum.</w:t>
            </w:r>
          </w:p>
        </w:tc>
        <w:tc>
          <w:tcPr>
            <w:tcW w:type="dxa" w:w="1500"/>
            <w:vAlign w:val="top"/>
          </w:tcPr>
          <w:p>
            <w:r/>
            <w:r>
              <w:rPr>
                <w:rFonts w:ascii="Arial" w:hAnsi="Arial"/>
                <w:b w:val="0"/>
                <w:sz w:val="16"/>
              </w:rPr>
              <w:t>Pflicht</w:t>
            </w:r>
          </w:p>
        </w:tc>
      </w:tr>
      <w:tr>
        <w:tc>
          <w:tcPr>
            <w:tcW w:type="dxa" w:w="1800"/>
            <w:vAlign w:val="top"/>
          </w:tcPr>
          <w:p>
            <w:r/>
            <w:r>
              <w:rPr>
                <w:rFonts w:ascii="Arial" w:hAnsi="Arial"/>
                <w:b w:val="0"/>
                <w:sz w:val="16"/>
              </w:rPr>
              <w:t>Arbeitsnotiz</w:t>
            </w:r>
          </w:p>
        </w:tc>
        <w:tc>
          <w:tcPr>
            <w:tcW w:type="dxa" w:w="2500"/>
            <w:vAlign w:val="top"/>
          </w:tcPr>
          <w:p>
            <w:r/>
            <w:r>
              <w:rPr>
                <w:rFonts w:ascii="Arial" w:hAnsi="Arial"/>
                <w:b w:val="0"/>
                <w:sz w:val="16"/>
              </w:rPr>
              <w:t>Lokale Dateien, Mitschriften, Chatpruefungen, eigene Thesen.</w:t>
            </w:r>
          </w:p>
        </w:tc>
        <w:tc>
          <w:tcPr>
            <w:tcW w:type="dxa" w:w="3200"/>
            <w:vAlign w:val="top"/>
          </w:tcPr>
          <w:p>
            <w:r/>
            <w:r>
              <w:rPr>
                <w:rFonts w:ascii="Arial" w:hAnsi="Arial"/>
                <w:b w:val="0"/>
                <w:sz w:val="16"/>
              </w:rPr>
              <w:t>Nur als Genese der Forschungsfrage, nicht als Beweis.</w:t>
            </w:r>
          </w:p>
        </w:tc>
        <w:tc>
          <w:tcPr>
            <w:tcW w:type="dxa" w:w="1500"/>
            <w:vAlign w:val="top"/>
          </w:tcPr>
          <w:p>
            <w:r/>
            <w:r>
              <w:rPr>
                <w:rFonts w:ascii="Arial" w:hAnsi="Arial"/>
                <w:b w:val="0"/>
                <w:sz w:val="16"/>
              </w:rPr>
              <w:t>Nur intern</w:t>
            </w:r>
          </w:p>
        </w:tc>
      </w:tr>
    </w:tbl>
    <w:p>
      <w:pPr>
        <w:pStyle w:val="Heading2"/>
      </w:pPr>
      <w:r>
        <w:t>3. Belegmatrix fuer die Hauptthesen</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Kernthese</w:t>
            </w:r>
          </w:p>
        </w:tc>
        <w:tc>
          <w:tcPr>
            <w:tcW w:type="dxa" w:w="2500"/>
            <w:vAlign w:val="top"/>
            <w:shd w:fill="F1F3F4"/>
          </w:tcPr>
          <w:p>
            <w:r/>
            <w:r>
              <w:rPr>
                <w:rFonts w:ascii="Arial" w:hAnsi="Arial"/>
                <w:b/>
                <w:sz w:val="16"/>
              </w:rPr>
              <w:t>Primaeranker</w:t>
            </w:r>
          </w:p>
        </w:tc>
        <w:tc>
          <w:tcPr>
            <w:tcW w:type="dxa" w:w="3200"/>
            <w:vAlign w:val="top"/>
            <w:shd w:fill="F1F3F4"/>
          </w:tcPr>
          <w:p>
            <w:r/>
            <w:r>
              <w:rPr>
                <w:rFonts w:ascii="Arial" w:hAnsi="Arial"/>
                <w:b/>
                <w:sz w:val="16"/>
              </w:rPr>
              <w:t>Forschungsanker</w:t>
            </w:r>
          </w:p>
        </w:tc>
        <w:tc>
          <w:tcPr>
            <w:tcW w:type="dxa" w:w="1500"/>
            <w:vAlign w:val="top"/>
            <w:shd w:fill="F1F3F4"/>
          </w:tcPr>
          <w:p>
            <w:r/>
            <w:r>
              <w:rPr>
                <w:rFonts w:ascii="Arial" w:hAnsi="Arial"/>
                <w:b/>
                <w:sz w:val="16"/>
              </w:rPr>
              <w:t>Beleggrad</w:t>
            </w:r>
          </w:p>
        </w:tc>
      </w:tr>
      <w:tr>
        <w:tc>
          <w:tcPr>
            <w:tcW w:type="dxa" w:w="1800"/>
            <w:vAlign w:val="top"/>
          </w:tcPr>
          <w:p>
            <w:r/>
            <w:r>
              <w:rPr>
                <w:rFonts w:ascii="Arial" w:hAnsi="Arial"/>
                <w:b w:val="0"/>
                <w:sz w:val="16"/>
              </w:rPr>
              <w:t>Israel entsteht im kanaanaeischen Raum.</w:t>
            </w:r>
          </w:p>
        </w:tc>
        <w:tc>
          <w:tcPr>
            <w:tcW w:type="dxa" w:w="2500"/>
            <w:vAlign w:val="top"/>
          </w:tcPr>
          <w:p>
            <w:r/>
            <w:r>
              <w:rPr>
                <w:rFonts w:ascii="Arial" w:hAnsi="Arial"/>
                <w:b w:val="0"/>
                <w:sz w:val="16"/>
              </w:rPr>
              <w:t>Merenptah-Stele; Eisenzeit-I-Hochlandbefunde.</w:t>
            </w:r>
          </w:p>
        </w:tc>
        <w:tc>
          <w:tcPr>
            <w:tcW w:type="dxa" w:w="3200"/>
            <w:vAlign w:val="top"/>
          </w:tcPr>
          <w:p>
            <w:r/>
            <w:r>
              <w:rPr>
                <w:rFonts w:ascii="Arial" w:hAnsi="Arial"/>
                <w:b w:val="0"/>
                <w:sz w:val="16"/>
              </w:rPr>
              <w:t>Hasel, Faust, Gadot und weitere Archaeologie zur Ethnogenese.</w:t>
            </w:r>
          </w:p>
        </w:tc>
        <w:tc>
          <w:tcPr>
            <w:tcW w:type="dxa" w:w="1500"/>
            <w:vAlign w:val="top"/>
          </w:tcPr>
          <w:p>
            <w:r/>
            <w:r>
              <w:rPr>
                <w:rFonts w:ascii="Arial" w:hAnsi="Arial"/>
                <w:b w:val="0"/>
                <w:sz w:val="16"/>
              </w:rPr>
              <w:t>Gut belegt bis plausibel; Details der Gruppenzusammensetzung strittig.</w:t>
            </w:r>
          </w:p>
        </w:tc>
      </w:tr>
      <w:tr>
        <w:tc>
          <w:tcPr>
            <w:tcW w:type="dxa" w:w="1800"/>
            <w:vAlign w:val="top"/>
          </w:tcPr>
          <w:p>
            <w:r/>
            <w:r>
              <w:rPr>
                <w:rFonts w:ascii="Arial" w:hAnsi="Arial"/>
                <w:b w:val="0"/>
                <w:sz w:val="16"/>
              </w:rPr>
              <w:t>El ist der wichtigste westsemitische Hochgott im Vergleichshorizont.</w:t>
            </w:r>
          </w:p>
        </w:tc>
        <w:tc>
          <w:tcPr>
            <w:tcW w:type="dxa" w:w="2500"/>
            <w:vAlign w:val="top"/>
          </w:tcPr>
          <w:p>
            <w:r/>
            <w:r>
              <w:rPr>
                <w:rFonts w:ascii="Arial" w:hAnsi="Arial"/>
                <w:b w:val="0"/>
                <w:sz w:val="16"/>
              </w:rPr>
              <w:t>Ugaritische Texte zu El, Athirat und goettlichem Rat.</w:t>
            </w:r>
          </w:p>
        </w:tc>
        <w:tc>
          <w:tcPr>
            <w:tcW w:type="dxa" w:w="3200"/>
            <w:vAlign w:val="top"/>
          </w:tcPr>
          <w:p>
            <w:r/>
            <w:r>
              <w:rPr>
                <w:rFonts w:ascii="Arial" w:hAnsi="Arial"/>
                <w:b w:val="0"/>
                <w:sz w:val="16"/>
              </w:rPr>
              <w:t>Smith/Pitard, Wyatt, Smith, Noll.</w:t>
            </w:r>
          </w:p>
        </w:tc>
        <w:tc>
          <w:tcPr>
            <w:tcW w:type="dxa" w:w="1500"/>
            <w:vAlign w:val="top"/>
          </w:tcPr>
          <w:p>
            <w:r/>
            <w:r>
              <w:rPr>
                <w:rFonts w:ascii="Arial" w:hAnsi="Arial"/>
                <w:b w:val="0"/>
                <w:sz w:val="16"/>
              </w:rPr>
              <w:t>Gut belegter Vergleichsrahmen.</w:t>
            </w:r>
          </w:p>
        </w:tc>
      </w:tr>
      <w:tr>
        <w:tc>
          <w:tcPr>
            <w:tcW w:type="dxa" w:w="1800"/>
            <w:vAlign w:val="top"/>
          </w:tcPr>
          <w:p>
            <w:r/>
            <w:r>
              <w:rPr>
                <w:rFonts w:ascii="Arial" w:hAnsi="Arial"/>
                <w:b w:val="0"/>
                <w:sz w:val="16"/>
              </w:rPr>
              <w:t>Dtn 32,8-9 bewahrt wahrscheinlich eine aeltere Voelker- und Goetterordnung.</w:t>
            </w:r>
          </w:p>
        </w:tc>
        <w:tc>
          <w:tcPr>
            <w:tcW w:type="dxa" w:w="2500"/>
            <w:vAlign w:val="top"/>
          </w:tcPr>
          <w:p>
            <w:r/>
            <w:r>
              <w:rPr>
                <w:rFonts w:ascii="Arial" w:hAnsi="Arial"/>
                <w:b w:val="0"/>
                <w:sz w:val="16"/>
              </w:rPr>
              <w:t>4QDeutj und LXX mit 'Soehne Gottes' gegen MT 'Soehne Israels'.</w:t>
            </w:r>
          </w:p>
        </w:tc>
        <w:tc>
          <w:tcPr>
            <w:tcW w:type="dxa" w:w="3200"/>
            <w:vAlign w:val="top"/>
          </w:tcPr>
          <w:p>
            <w:r/>
            <w:r>
              <w:rPr>
                <w:rFonts w:ascii="Arial" w:hAnsi="Arial"/>
                <w:b w:val="0"/>
                <w:sz w:val="16"/>
              </w:rPr>
              <w:t>Tov, Hendel, Heiser und textkritische Diskussion.</w:t>
            </w:r>
          </w:p>
        </w:tc>
        <w:tc>
          <w:tcPr>
            <w:tcW w:type="dxa" w:w="1500"/>
            <w:vAlign w:val="top"/>
          </w:tcPr>
          <w:p>
            <w:r/>
            <w:r>
              <w:rPr>
                <w:rFonts w:ascii="Arial" w:hAnsi="Arial"/>
                <w:b w:val="0"/>
                <w:sz w:val="16"/>
              </w:rPr>
              <w:t>Starkes textkritisches Argument; Interpretation bleibt zu begrenzen.</w:t>
            </w:r>
          </w:p>
        </w:tc>
      </w:tr>
      <w:tr>
        <w:tc>
          <w:tcPr>
            <w:tcW w:type="dxa" w:w="1800"/>
            <w:vAlign w:val="top"/>
          </w:tcPr>
          <w:p>
            <w:r/>
            <w:r>
              <w:rPr>
                <w:rFonts w:ascii="Arial" w:hAnsi="Arial"/>
                <w:b w:val="0"/>
                <w:sz w:val="16"/>
              </w:rPr>
              <w:t>Psalm 82 bewahrt Rats- und Gerichtsmotive.</w:t>
            </w:r>
          </w:p>
        </w:tc>
        <w:tc>
          <w:tcPr>
            <w:tcW w:type="dxa" w:w="2500"/>
            <w:vAlign w:val="top"/>
          </w:tcPr>
          <w:p>
            <w:r/>
            <w:r>
              <w:rPr>
                <w:rFonts w:ascii="Arial" w:hAnsi="Arial"/>
                <w:b w:val="0"/>
                <w:sz w:val="16"/>
              </w:rPr>
              <w:t>Ps 82; Vergleich mit westsemitischem goettlichem Rat.</w:t>
            </w:r>
          </w:p>
        </w:tc>
        <w:tc>
          <w:tcPr>
            <w:tcW w:type="dxa" w:w="3200"/>
            <w:vAlign w:val="top"/>
          </w:tcPr>
          <w:p>
            <w:r/>
            <w:r>
              <w:rPr>
                <w:rFonts w:ascii="Arial" w:hAnsi="Arial"/>
                <w:b w:val="0"/>
                <w:sz w:val="16"/>
              </w:rPr>
              <w:t>McClellan, Thompson, Andresen.</w:t>
            </w:r>
          </w:p>
        </w:tc>
        <w:tc>
          <w:tcPr>
            <w:tcW w:type="dxa" w:w="1500"/>
            <w:vAlign w:val="top"/>
          </w:tcPr>
          <w:p>
            <w:r/>
            <w:r>
              <w:rPr>
                <w:rFonts w:ascii="Arial" w:hAnsi="Arial"/>
                <w:b w:val="0"/>
                <w:sz w:val="16"/>
              </w:rPr>
              <w:t>Gut belegtes Motivfeld; Datierung und Sitz im Leben strittig.</w:t>
            </w:r>
          </w:p>
        </w:tc>
      </w:tr>
      <w:tr>
        <w:tc>
          <w:tcPr>
            <w:tcW w:type="dxa" w:w="1800"/>
            <w:vAlign w:val="top"/>
          </w:tcPr>
          <w:p>
            <w:r/>
            <w:r>
              <w:rPr>
                <w:rFonts w:ascii="Arial" w:hAnsi="Arial"/>
                <w:b w:val="0"/>
                <w:sz w:val="16"/>
              </w:rPr>
              <w:t>JHWH wird mit El identifiziert und uebernimmt El-Titel.</w:t>
            </w:r>
          </w:p>
        </w:tc>
        <w:tc>
          <w:tcPr>
            <w:tcW w:type="dxa" w:w="2500"/>
            <w:vAlign w:val="top"/>
          </w:tcPr>
          <w:p>
            <w:r/>
            <w:r>
              <w:rPr>
                <w:rFonts w:ascii="Arial" w:hAnsi="Arial"/>
                <w:b w:val="0"/>
                <w:sz w:val="16"/>
              </w:rPr>
              <w:t>Biblische El-Titel, Schoepfer-, Vater-, Koenigs- und Richterfunktionen.</w:t>
            </w:r>
          </w:p>
        </w:tc>
        <w:tc>
          <w:tcPr>
            <w:tcW w:type="dxa" w:w="3200"/>
            <w:vAlign w:val="top"/>
          </w:tcPr>
          <w:p>
            <w:r/>
            <w:r>
              <w:rPr>
                <w:rFonts w:ascii="Arial" w:hAnsi="Arial"/>
                <w:b w:val="0"/>
                <w:sz w:val="16"/>
              </w:rPr>
              <w:t>Mark S. Smith, Anderson, Noll.</w:t>
            </w:r>
          </w:p>
        </w:tc>
        <w:tc>
          <w:tcPr>
            <w:tcW w:type="dxa" w:w="1500"/>
            <w:vAlign w:val="top"/>
          </w:tcPr>
          <w:p>
            <w:r/>
            <w:r>
              <w:rPr>
                <w:rFonts w:ascii="Arial" w:hAnsi="Arial"/>
                <w:b w:val="0"/>
                <w:sz w:val="16"/>
              </w:rPr>
              <w:t>Tragfaehigste Synthese; Ursprung JHWHs bleibt umstritten.</w:t>
            </w:r>
          </w:p>
        </w:tc>
      </w:tr>
      <w:tr>
        <w:tc>
          <w:tcPr>
            <w:tcW w:type="dxa" w:w="1800"/>
            <w:vAlign w:val="top"/>
          </w:tcPr>
          <w:p>
            <w:r/>
            <w:r>
              <w:rPr>
                <w:rFonts w:ascii="Arial" w:hAnsi="Arial"/>
                <w:b w:val="0"/>
                <w:sz w:val="16"/>
              </w:rPr>
              <w:t>JHWH uebernimmt Baal/Hadad-Funktionen.</w:t>
            </w:r>
          </w:p>
        </w:tc>
        <w:tc>
          <w:tcPr>
            <w:tcW w:type="dxa" w:w="2500"/>
            <w:vAlign w:val="top"/>
          </w:tcPr>
          <w:p>
            <w:r/>
            <w:r>
              <w:rPr>
                <w:rFonts w:ascii="Arial" w:hAnsi="Arial"/>
                <w:b w:val="0"/>
                <w:sz w:val="16"/>
              </w:rPr>
              <w:t>Wolkenfahrt, Donner, Regen, Krieg, Chaoskampf, Meer/Leviathan.</w:t>
            </w:r>
          </w:p>
        </w:tc>
        <w:tc>
          <w:tcPr>
            <w:tcW w:type="dxa" w:w="3200"/>
            <w:vAlign w:val="top"/>
          </w:tcPr>
          <w:p>
            <w:r/>
            <w:r>
              <w:rPr>
                <w:rFonts w:ascii="Arial" w:hAnsi="Arial"/>
                <w:b w:val="0"/>
                <w:sz w:val="16"/>
              </w:rPr>
              <w:t>Stahl, Toyraanvuori, Smith, Baal-Zyklus.</w:t>
            </w:r>
          </w:p>
        </w:tc>
        <w:tc>
          <w:tcPr>
            <w:tcW w:type="dxa" w:w="1500"/>
            <w:vAlign w:val="top"/>
          </w:tcPr>
          <w:p>
            <w:r/>
            <w:r>
              <w:rPr>
                <w:rFonts w:ascii="Arial" w:hAnsi="Arial"/>
                <w:b w:val="0"/>
                <w:sz w:val="16"/>
              </w:rPr>
              <w:t>Motivuebernahme plausibel; direkte Identitaet nicht belegt.</w:t>
            </w:r>
          </w:p>
        </w:tc>
      </w:tr>
      <w:tr>
        <w:tc>
          <w:tcPr>
            <w:tcW w:type="dxa" w:w="1800"/>
            <w:vAlign w:val="top"/>
          </w:tcPr>
          <w:p>
            <w:r/>
            <w:r>
              <w:rPr>
                <w:rFonts w:ascii="Arial" w:hAnsi="Arial"/>
                <w:b w:val="0"/>
                <w:sz w:val="16"/>
              </w:rPr>
              <w:t>Aschera gehoert zur gelebten israelitisch-judaischen Volksreligion.</w:t>
            </w:r>
          </w:p>
        </w:tc>
        <w:tc>
          <w:tcPr>
            <w:tcW w:type="dxa" w:w="2500"/>
            <w:vAlign w:val="top"/>
          </w:tcPr>
          <w:p>
            <w:r/>
            <w:r>
              <w:rPr>
                <w:rFonts w:ascii="Arial" w:hAnsi="Arial"/>
                <w:b w:val="0"/>
                <w:sz w:val="16"/>
              </w:rPr>
              <w:t>Kuntillet Ajrud, Khirbet el-Qom, biblische Aschera-Polemik.</w:t>
            </w:r>
          </w:p>
        </w:tc>
        <w:tc>
          <w:tcPr>
            <w:tcW w:type="dxa" w:w="3200"/>
            <w:vAlign w:val="top"/>
          </w:tcPr>
          <w:p>
            <w:r/>
            <w:r>
              <w:rPr>
                <w:rFonts w:ascii="Arial" w:hAnsi="Arial"/>
                <w:b w:val="0"/>
                <w:sz w:val="16"/>
              </w:rPr>
              <w:t>Schniedewind, Hadley, Olyan, Zevit, Kim, Hess.</w:t>
            </w:r>
          </w:p>
        </w:tc>
        <w:tc>
          <w:tcPr>
            <w:tcW w:type="dxa" w:w="1500"/>
            <w:vAlign w:val="top"/>
          </w:tcPr>
          <w:p>
            <w:r/>
            <w:r>
              <w:rPr>
                <w:rFonts w:ascii="Arial" w:hAnsi="Arial"/>
                <w:b w:val="0"/>
                <w:sz w:val="16"/>
              </w:rPr>
              <w:t>Bedeutung gut belegt; 'seine Aschera' als Goettin/Symbol strittig.</w:t>
            </w:r>
          </w:p>
        </w:tc>
      </w:tr>
      <w:tr>
        <w:tc>
          <w:tcPr>
            <w:tcW w:type="dxa" w:w="1800"/>
            <w:vAlign w:val="top"/>
          </w:tcPr>
          <w:p>
            <w:r/>
            <w:r>
              <w:rPr>
                <w:rFonts w:ascii="Arial" w:hAnsi="Arial"/>
                <w:b w:val="0"/>
                <w:sz w:val="16"/>
              </w:rPr>
              <w:t>Anunnaki und Elohim sind nicht direkt identisch.</w:t>
            </w:r>
          </w:p>
        </w:tc>
        <w:tc>
          <w:tcPr>
            <w:tcW w:type="dxa" w:w="2500"/>
            <w:vAlign w:val="top"/>
          </w:tcPr>
          <w:p>
            <w:r/>
            <w:r>
              <w:rPr>
                <w:rFonts w:ascii="Arial" w:hAnsi="Arial"/>
                <w:b w:val="0"/>
                <w:sz w:val="16"/>
              </w:rPr>
              <w:t>Mesopotamische Anunna/Anunnaki-Traditionen; hebr. elohim als Kategorie.</w:t>
            </w:r>
          </w:p>
        </w:tc>
        <w:tc>
          <w:tcPr>
            <w:tcW w:type="dxa" w:w="3200"/>
            <w:vAlign w:val="top"/>
          </w:tcPr>
          <w:p>
            <w:r/>
            <w:r>
              <w:rPr>
                <w:rFonts w:ascii="Arial" w:hAnsi="Arial"/>
                <w:b w:val="0"/>
                <w:sz w:val="16"/>
              </w:rPr>
              <w:t>ORACC, Lambert/Enuma Elish, Matsushima, Shibata.</w:t>
            </w:r>
          </w:p>
        </w:tc>
        <w:tc>
          <w:tcPr>
            <w:tcW w:type="dxa" w:w="1500"/>
            <w:vAlign w:val="top"/>
          </w:tcPr>
          <w:p>
            <w:r/>
            <w:r>
              <w:rPr>
                <w:rFonts w:ascii="Arial" w:hAnsi="Arial"/>
                <w:b w:val="0"/>
                <w:sz w:val="16"/>
              </w:rPr>
              <w:t>Direkte Gleichung nicht belegt; Vergleich als Einflussfrage zulaessig.</w:t>
            </w:r>
          </w:p>
        </w:tc>
      </w:tr>
      <w:tr>
        <w:tc>
          <w:tcPr>
            <w:tcW w:type="dxa" w:w="1800"/>
            <w:vAlign w:val="top"/>
          </w:tcPr>
          <w:p>
            <w:r/>
            <w:r>
              <w:rPr>
                <w:rFonts w:ascii="Arial" w:hAnsi="Arial"/>
                <w:b w:val="0"/>
                <w:sz w:val="16"/>
              </w:rPr>
              <w:t>Nephilim/Waechter gehoeren in eine eigene Traditionslinie.</w:t>
            </w:r>
          </w:p>
        </w:tc>
        <w:tc>
          <w:tcPr>
            <w:tcW w:type="dxa" w:w="2500"/>
            <w:vAlign w:val="top"/>
          </w:tcPr>
          <w:p>
            <w:r/>
            <w:r>
              <w:rPr>
                <w:rFonts w:ascii="Arial" w:hAnsi="Arial"/>
                <w:b w:val="0"/>
                <w:sz w:val="16"/>
              </w:rPr>
              <w:t>Gen 6, Num 13, 1 Henoch, Jubilaeen, DSS.</w:t>
            </w:r>
          </w:p>
        </w:tc>
        <w:tc>
          <w:tcPr>
            <w:tcW w:type="dxa" w:w="3200"/>
            <w:vAlign w:val="top"/>
          </w:tcPr>
          <w:p>
            <w:r/>
            <w:r>
              <w:rPr>
                <w:rFonts w:ascii="Arial" w:hAnsi="Arial"/>
                <w:b w:val="0"/>
                <w:sz w:val="16"/>
              </w:rPr>
              <w:t>Nickelsburg, Reed, Jang, Watchers-Forschung.</w:t>
            </w:r>
          </w:p>
        </w:tc>
        <w:tc>
          <w:tcPr>
            <w:tcW w:type="dxa" w:w="1500"/>
            <w:vAlign w:val="top"/>
          </w:tcPr>
          <w:p>
            <w:r/>
            <w:r>
              <w:rPr>
                <w:rFonts w:ascii="Arial" w:hAnsi="Arial"/>
                <w:b w:val="0"/>
                <w:sz w:val="16"/>
              </w:rPr>
              <w:t>Verwandte Motive; keine direkte Identitaet mit Anunnaki beweisbar.</w:t>
            </w:r>
          </w:p>
        </w:tc>
      </w:tr>
      <w:tr>
        <w:tc>
          <w:tcPr>
            <w:tcW w:type="dxa" w:w="1800"/>
            <w:vAlign w:val="top"/>
          </w:tcPr>
          <w:p>
            <w:r/>
            <w:r>
              <w:rPr>
                <w:rFonts w:ascii="Arial" w:hAnsi="Arial"/>
                <w:b w:val="0"/>
                <w:sz w:val="16"/>
              </w:rPr>
              <w:t>Der Monotheismus entsteht als spaete Deutung und Zuspitzung.</w:t>
            </w:r>
          </w:p>
        </w:tc>
        <w:tc>
          <w:tcPr>
            <w:tcW w:type="dxa" w:w="2500"/>
            <w:vAlign w:val="top"/>
          </w:tcPr>
          <w:p>
            <w:r/>
            <w:r>
              <w:rPr>
                <w:rFonts w:ascii="Arial" w:hAnsi="Arial"/>
                <w:b w:val="0"/>
                <w:sz w:val="16"/>
              </w:rPr>
              <w:t>Deuterojesaja, exilische/nachexilische Texte, Second-Temple-Literatur.</w:t>
            </w:r>
          </w:p>
        </w:tc>
        <w:tc>
          <w:tcPr>
            <w:tcW w:type="dxa" w:w="3200"/>
            <w:vAlign w:val="top"/>
          </w:tcPr>
          <w:p>
            <w:r/>
            <w:r>
              <w:rPr>
                <w:rFonts w:ascii="Arial" w:hAnsi="Arial"/>
                <w:b w:val="0"/>
                <w:sz w:val="16"/>
              </w:rPr>
              <w:t>Smith, Reed, DSS-Forschung, Forschung zu Engel/Daemonen.</w:t>
            </w:r>
          </w:p>
        </w:tc>
        <w:tc>
          <w:tcPr>
            <w:tcW w:type="dxa" w:w="1500"/>
            <w:vAlign w:val="top"/>
          </w:tcPr>
          <w:p>
            <w:r/>
            <w:r>
              <w:rPr>
                <w:rFonts w:ascii="Arial" w:hAnsi="Arial"/>
                <w:b w:val="0"/>
                <w:sz w:val="16"/>
              </w:rPr>
              <w:t>Stark plausibles Entwicklungsmodell.</w:t>
            </w:r>
          </w:p>
        </w:tc>
      </w:tr>
      <w:tr>
        <w:tc>
          <w:tcPr>
            <w:tcW w:type="dxa" w:w="1800"/>
            <w:vAlign w:val="top"/>
          </w:tcPr>
          <w:p>
            <w:r/>
            <w:r>
              <w:rPr>
                <w:rFonts w:ascii="Arial" w:hAnsi="Arial"/>
                <w:b w:val="0"/>
                <w:sz w:val="16"/>
              </w:rPr>
              <w:t>Gewalt, Opfer, Plagen und Gericht bleiben ein theologisches Problem.</w:t>
            </w:r>
          </w:p>
        </w:tc>
        <w:tc>
          <w:tcPr>
            <w:tcW w:type="dxa" w:w="2500"/>
            <w:vAlign w:val="top"/>
          </w:tcPr>
          <w:p>
            <w:r/>
            <w:r>
              <w:rPr>
                <w:rFonts w:ascii="Arial" w:hAnsi="Arial"/>
                <w:b w:val="0"/>
                <w:sz w:val="16"/>
              </w:rPr>
              <w:t>Herem-Texte, Exodus-Plagen, Opfergesetze, Molech-/Menschenopfertexte.</w:t>
            </w:r>
          </w:p>
        </w:tc>
        <w:tc>
          <w:tcPr>
            <w:tcW w:type="dxa" w:w="3200"/>
            <w:vAlign w:val="top"/>
          </w:tcPr>
          <w:p>
            <w:r/>
            <w:r>
              <w:rPr>
                <w:rFonts w:ascii="Arial" w:hAnsi="Arial"/>
                <w:b w:val="0"/>
                <w:sz w:val="16"/>
              </w:rPr>
              <w:t>Firestone, Luelik, Botha, Levine, Satlow, Smelik, Levenson, Seri-Levi.</w:t>
            </w:r>
          </w:p>
        </w:tc>
        <w:tc>
          <w:tcPr>
            <w:tcW w:type="dxa" w:w="1500"/>
            <w:vAlign w:val="top"/>
          </w:tcPr>
          <w:p>
            <w:r/>
            <w:r>
              <w:rPr>
                <w:rFonts w:ascii="Arial" w:hAnsi="Arial"/>
                <w:b w:val="0"/>
                <w:sz w:val="16"/>
              </w:rPr>
              <w:t>Gut belegter Problemkomplex; moralische Bewertung offen zu diskutieren.</w:t>
            </w:r>
          </w:p>
        </w:tc>
      </w:tr>
    </w:tbl>
    <w:p>
      <w:pPr>
        <w:pStyle w:val="Heading2"/>
      </w:pPr>
      <w:r>
        <w:t>4. Reihenfolge fuer Rest-Fussnoten und Vereinheitlichung</w:t>
      </w:r>
    </w:p>
    <w:p>
      <w:r>
        <w:rPr>
          <w:rFonts w:ascii="Arial" w:hAnsi="Arial"/>
        </w:rPr>
        <w:t>Die Druckfassung verwendet echte Word-Fussnoten, keine in Klammern eingestreuten Quellenlisten. Technisch sind die zentralen Fussnoten umgesetzt. Die Aufgabe dieser Endfassung ist deshalb nicht mehr der Start der Fussnotenarbeit, sondern die dokumentierte Vereinheitlichung und der Abgleich mit dem Literaturverzeichnis.</w:t>
      </w:r>
      <w:r>
        <w:footnoteReference w:id="93"/>
      </w:r>
    </w:p>
    <w:p>
      <w:pPr>
        <w:pStyle w:val="ListBullet"/>
      </w:pPr>
      <w:r>
        <w:rPr>
          <w:rFonts w:ascii="Arial" w:hAnsi="Arial"/>
        </w:rPr>
        <w:t>Kapitel 1 bis 14 sind als Antwort-, Synthese- und Redaktionskapitel inzwischen echt fussnotiert; sie dienen nun als Belegkern der gesamten Arbeit.</w:t>
      </w:r>
    </w:p>
    <w:p>
      <w:pPr>
        <w:pStyle w:val="ListBullet"/>
      </w:pPr>
      <w:r>
        <w:rPr>
          <w:rFonts w:ascii="Arial" w:hAnsi="Arial"/>
        </w:rPr>
        <w:t>Kapitel 1 wurde rueckwirkend an Endstand, Forschungsfrage, Methodik und Beleggrade angepasst.</w:t>
      </w:r>
    </w:p>
    <w:p>
      <w:pPr>
        <w:pStyle w:val="ListBullet"/>
      </w:pPr>
      <w:r>
        <w:rPr>
          <w:rFonts w:ascii="Arial" w:hAnsi="Arial"/>
        </w:rPr>
        <w:t>Kapitel 9 bis 13 wurden mit Restfussnoten dort versehen, wo Synthese, Schlussbewertung, Literaturverzeichnis und Statusaussagen zentrale Befunde zusammenziehen.</w:t>
      </w:r>
    </w:p>
    <w:p>
      <w:pPr>
        <w:pStyle w:val="ListBullet"/>
      </w:pPr>
      <w:r>
        <w:rPr>
          <w:rFonts w:ascii="Arial" w:hAnsi="Arial"/>
        </w:rPr>
        <w:t>Kapitel 12 und 13 sind redaktionell an den tatsaechlich erreichten Fussnotenstand angeglichen.</w:t>
      </w:r>
    </w:p>
    <w:p>
      <w:pPr>
        <w:pStyle w:val="ListBullet"/>
      </w:pPr>
      <w:r>
        <w:rPr>
          <w:rFonts w:ascii="Arial" w:hAnsi="Arial"/>
        </w:rPr>
        <w:t>Die Anlagen bleiben quellen- und arbeitsgeschichtlich wichtig, sollen aber nur dort einzeln fussnotiert werden, wo sie im Hauptargument eine eigene belegpflichtige Rolle spielen.</w:t>
      </w:r>
    </w:p>
    <w:p>
      <w:pPr>
        <w:pStyle w:val="ListBullet"/>
      </w:pPr>
      <w:r>
        <w:rPr>
          <w:rFonts w:ascii="Arial" w:hAnsi="Arial"/>
        </w:rPr>
        <w:t>Nach der Restfussnotierung folgt die Kuerzung von Dopplungen aus altem Hauptteil und Anlagen, damit die Lesefassung nicht durch Archivmaterial ueberladen wird.</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Status</w:t>
            </w:r>
          </w:p>
        </w:tc>
        <w:tc>
          <w:tcPr>
            <w:tcW w:type="dxa" w:w="2500"/>
            <w:vAlign w:val="top"/>
            <w:shd w:fill="F1F3F4"/>
          </w:tcPr>
          <w:p>
            <w:r/>
            <w:r>
              <w:rPr>
                <w:rFonts w:ascii="Arial" w:hAnsi="Arial"/>
                <w:b/>
                <w:sz w:val="16"/>
              </w:rPr>
              <w:t>Bereich</w:t>
            </w:r>
          </w:p>
        </w:tc>
        <w:tc>
          <w:tcPr>
            <w:tcW w:type="dxa" w:w="3200"/>
            <w:vAlign w:val="top"/>
            <w:shd w:fill="F1F3F4"/>
          </w:tcPr>
          <w:p>
            <w:r/>
            <w:r>
              <w:rPr>
                <w:rFonts w:ascii="Arial" w:hAnsi="Arial"/>
                <w:b/>
                <w:sz w:val="16"/>
              </w:rPr>
              <w:t>Befund</w:t>
            </w:r>
          </w:p>
        </w:tc>
        <w:tc>
          <w:tcPr>
            <w:tcW w:type="dxa" w:w="1500"/>
            <w:vAlign w:val="top"/>
            <w:shd w:fill="F1F3F4"/>
          </w:tcPr>
          <w:p>
            <w:r/>
            <w:r>
              <w:rPr>
                <w:rFonts w:ascii="Arial" w:hAnsi="Arial"/>
                <w:b/>
                <w:sz w:val="16"/>
              </w:rPr>
              <w:t>Naechste Aktion</w:t>
            </w:r>
          </w:p>
        </w:tc>
      </w:tr>
      <w:tr>
        <w:tc>
          <w:tcPr>
            <w:tcW w:type="dxa" w:w="1800"/>
            <w:vAlign w:val="top"/>
          </w:tcPr>
          <w:p>
            <w:r/>
            <w:r>
              <w:rPr>
                <w:rFonts w:ascii="Arial" w:hAnsi="Arial"/>
                <w:b w:val="0"/>
                <w:sz w:val="16"/>
              </w:rPr>
              <w:t>Bereits umgesetzt</w:t>
            </w:r>
          </w:p>
        </w:tc>
        <w:tc>
          <w:tcPr>
            <w:tcW w:type="dxa" w:w="2500"/>
            <w:vAlign w:val="top"/>
          </w:tcPr>
          <w:p>
            <w:r/>
            <w:r>
              <w:rPr>
                <w:rFonts w:ascii="Arial" w:hAnsi="Arial"/>
                <w:b w:val="0"/>
                <w:sz w:val="16"/>
              </w:rPr>
              <w:t>Kapitel 1-14, Anlage N</w:t>
            </w:r>
          </w:p>
        </w:tc>
        <w:tc>
          <w:tcPr>
            <w:tcW w:type="dxa" w:w="3200"/>
            <w:vAlign w:val="top"/>
          </w:tcPr>
          <w:p>
            <w:r/>
            <w:r>
              <w:rPr>
                <w:rFonts w:ascii="Arial" w:hAnsi="Arial"/>
                <w:b w:val="0"/>
                <w:sz w:val="16"/>
              </w:rPr>
              <w:t>Echte Word-Fussnoten vorhanden; technische Platzhalter entfernt.</w:t>
            </w:r>
          </w:p>
        </w:tc>
        <w:tc>
          <w:tcPr>
            <w:tcW w:type="dxa" w:w="1500"/>
            <w:vAlign w:val="top"/>
          </w:tcPr>
          <w:p>
            <w:r/>
            <w:r>
              <w:rPr>
                <w:rFonts w:ascii="Arial" w:hAnsi="Arial"/>
                <w:b w:val="0"/>
                <w:sz w:val="16"/>
              </w:rPr>
              <w:t>Erhalten und bei spaeterer Feinfassung punktgenau ergaenzen.</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1</w:t>
            </w:r>
          </w:p>
        </w:tc>
        <w:tc>
          <w:tcPr>
            <w:tcW w:type="dxa" w:w="3200"/>
            <w:vAlign w:val="top"/>
          </w:tcPr>
          <w:p>
            <w:r/>
            <w:r>
              <w:rPr>
                <w:rFonts w:ascii="Arial" w:hAnsi="Arial"/>
                <w:b w:val="0"/>
                <w:sz w:val="16"/>
              </w:rPr>
              <w:t>Methodik, Leitthese, Beleggrade und Aufbau auf Endstand gebracht.</w:t>
            </w:r>
          </w:p>
        </w:tc>
        <w:tc>
          <w:tcPr>
            <w:tcW w:type="dxa" w:w="1500"/>
            <w:vAlign w:val="top"/>
          </w:tcPr>
          <w:p>
            <w:r/>
            <w:r>
              <w:rPr>
                <w:rFonts w:ascii="Arial" w:hAnsi="Arial"/>
                <w:b w:val="0"/>
                <w:sz w:val="16"/>
              </w:rPr>
              <w:t>Bei Endredaktion nur noch sprachlich pruefen.</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9-11</w:t>
            </w:r>
          </w:p>
        </w:tc>
        <w:tc>
          <w:tcPr>
            <w:tcW w:type="dxa" w:w="3200"/>
            <w:vAlign w:val="top"/>
          </w:tcPr>
          <w:p>
            <w:r/>
            <w:r>
              <w:rPr>
                <w:rFonts w:ascii="Arial" w:hAnsi="Arial"/>
                <w:b w:val="0"/>
                <w:sz w:val="16"/>
              </w:rPr>
              <w:t>Synthese und Schlussbewertung mit Restbelegen versehen.</w:t>
            </w:r>
          </w:p>
        </w:tc>
        <w:tc>
          <w:tcPr>
            <w:tcW w:type="dxa" w:w="1500"/>
            <w:vAlign w:val="top"/>
          </w:tcPr>
          <w:p>
            <w:r/>
            <w:r>
              <w:rPr>
                <w:rFonts w:ascii="Arial" w:hAnsi="Arial"/>
                <w:b w:val="0"/>
                <w:sz w:val="16"/>
              </w:rPr>
              <w:t>Bei Endredaktion Literaturdaten normalisieren.</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12-13</w:t>
            </w:r>
          </w:p>
        </w:tc>
        <w:tc>
          <w:tcPr>
            <w:tcW w:type="dxa" w:w="3200"/>
            <w:vAlign w:val="top"/>
          </w:tcPr>
          <w:p>
            <w:r/>
            <w:r>
              <w:rPr>
                <w:rFonts w:ascii="Arial" w:hAnsi="Arial"/>
                <w:b w:val="0"/>
                <w:sz w:val="16"/>
              </w:rPr>
              <w:t>Endredaktions- und Fussnotenpilot an Endstand angeglichen.</w:t>
            </w:r>
          </w:p>
        </w:tc>
        <w:tc>
          <w:tcPr>
            <w:tcW w:type="dxa" w:w="1500"/>
            <w:vAlign w:val="top"/>
          </w:tcPr>
          <w:p>
            <w:r/>
            <w:r>
              <w:rPr>
                <w:rFonts w:ascii="Arial" w:hAnsi="Arial"/>
                <w:b w:val="0"/>
                <w:sz w:val="16"/>
              </w:rPr>
              <w:t>Statusformulierungen aktuell halten.</w:t>
            </w:r>
          </w:p>
        </w:tc>
      </w:tr>
      <w:tr>
        <w:tc>
          <w:tcPr>
            <w:tcW w:type="dxa" w:w="1800"/>
            <w:vAlign w:val="top"/>
          </w:tcPr>
          <w:p>
            <w:r/>
            <w:r>
              <w:rPr>
                <w:rFonts w:ascii="Arial" w:hAnsi="Arial"/>
                <w:b w:val="0"/>
                <w:sz w:val="16"/>
              </w:rPr>
              <w:t>Erledigt V1</w:t>
            </w:r>
          </w:p>
        </w:tc>
        <w:tc>
          <w:tcPr>
            <w:tcW w:type="dxa" w:w="2500"/>
            <w:vAlign w:val="top"/>
          </w:tcPr>
          <w:p>
            <w:r/>
            <w:r>
              <w:rPr>
                <w:rFonts w:ascii="Arial" w:hAnsi="Arial"/>
                <w:b w:val="0"/>
                <w:sz w:val="16"/>
              </w:rPr>
              <w:t>Anlagen/Alt-Hauptteil</w:t>
            </w:r>
          </w:p>
        </w:tc>
        <w:tc>
          <w:tcPr>
            <w:tcW w:type="dxa" w:w="3200"/>
            <w:vAlign w:val="top"/>
          </w:tcPr>
          <w:p>
            <w:r/>
            <w:r>
              <w:rPr>
                <w:rFonts w:ascii="Arial" w:hAnsi="Arial"/>
                <w:b w:val="0"/>
                <w:sz w:val="16"/>
              </w:rPr>
              <w:t>Dopplungen, Archivfunktion und Belegrolle entschieden.</w:t>
            </w:r>
          </w:p>
        </w:tc>
        <w:tc>
          <w:tcPr>
            <w:tcW w:type="dxa" w:w="1500"/>
            <w:vAlign w:val="top"/>
          </w:tcPr>
          <w:p>
            <w:r/>
            <w:r>
              <w:rPr>
                <w:rFonts w:ascii="Arial" w:hAnsi="Arial"/>
                <w:b w:val="0"/>
                <w:sz w:val="16"/>
              </w:rPr>
              <w:t>Als Nachweis-, Quellen- und Archivanhang belassen.</w:t>
            </w:r>
          </w:p>
        </w:tc>
      </w:tr>
    </w:tbl>
    <w:p>
      <w:pPr>
        <w:pStyle w:val="Heading2"/>
      </w:pPr>
      <w:r>
        <w:t>5. Druckreife-Kriterien fuer Antwortkapitel</w:t>
      </w:r>
    </w:p>
    <w:p>
      <w:r>
        <w:rPr>
          <w:rFonts w:ascii="Arial" w:hAnsi="Arial"/>
        </w:rPr>
        <w:t>Ein Kapitel gilt in der Schlussredaktion erst dann als druckreif, wenn es nicht nur inhaltlich plausibel ist, sondern die Beleg- und Redaktionskriterien aus Kapitel 10 bis 14 erfuellt. Damit wird verhindert, dass ein Kapitel zwar gute Argumente enthaelt, aber noch nicht als wissenschaftliche Lesefassung funktioniert.</w:t>
      </w:r>
      <w:r>
        <w:footnoteReference w:id="94"/>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Prueffeld</w:t>
            </w:r>
          </w:p>
        </w:tc>
        <w:tc>
          <w:tcPr>
            <w:tcW w:type="dxa" w:w="3300"/>
            <w:vAlign w:val="top"/>
            <w:shd w:fill="F1F3F4"/>
          </w:tcPr>
          <w:p>
            <w:r/>
            <w:r>
              <w:rPr>
                <w:rFonts w:ascii="Arial" w:hAnsi="Arial"/>
                <w:b/>
                <w:sz w:val="16"/>
              </w:rPr>
              <w:t>Mindeststandard</w:t>
            </w:r>
          </w:p>
        </w:tc>
        <w:tc>
          <w:tcPr>
            <w:tcW w:type="dxa" w:w="3300"/>
            <w:vAlign w:val="top"/>
            <w:shd w:fill="F1F3F4"/>
          </w:tcPr>
          <w:p>
            <w:r/>
            <w:r>
              <w:rPr>
                <w:rFonts w:ascii="Arial" w:hAnsi="Arial"/>
                <w:b/>
                <w:sz w:val="16"/>
              </w:rPr>
              <w:t>Erfuellt bei</w:t>
            </w:r>
          </w:p>
        </w:tc>
      </w:tr>
      <w:tr>
        <w:tc>
          <w:tcPr>
            <w:tcW w:type="dxa" w:w="2400"/>
            <w:vAlign w:val="top"/>
          </w:tcPr>
          <w:p>
            <w:r/>
            <w:r>
              <w:rPr>
                <w:rFonts w:ascii="Arial" w:hAnsi="Arial"/>
                <w:b w:val="0"/>
                <w:sz w:val="16"/>
              </w:rPr>
              <w:t>Kriterium</w:t>
            </w:r>
          </w:p>
        </w:tc>
        <w:tc>
          <w:tcPr>
            <w:tcW w:type="dxa" w:w="3300"/>
            <w:vAlign w:val="top"/>
          </w:tcPr>
          <w:p>
            <w:r/>
            <w:r>
              <w:rPr>
                <w:rFonts w:ascii="Arial" w:hAnsi="Arial"/>
                <w:b w:val="0"/>
                <w:sz w:val="16"/>
              </w:rPr>
              <w:t>Mindestanforderung</w:t>
            </w:r>
          </w:p>
        </w:tc>
        <w:tc>
          <w:tcPr>
            <w:tcW w:type="dxa" w:w="3300"/>
            <w:vAlign w:val="top"/>
          </w:tcPr>
          <w:p>
            <w:r/>
            <w:r>
              <w:rPr>
                <w:rFonts w:ascii="Arial" w:hAnsi="Arial"/>
                <w:b w:val="0"/>
                <w:sz w:val="16"/>
              </w:rPr>
              <w:t>Druckreif, wenn ...</w:t>
            </w:r>
          </w:p>
        </w:tc>
      </w:tr>
      <w:tr>
        <w:tc>
          <w:tcPr>
            <w:tcW w:type="dxa" w:w="2400"/>
            <w:vAlign w:val="top"/>
          </w:tcPr>
          <w:p>
            <w:r/>
            <w:r>
              <w:rPr>
                <w:rFonts w:ascii="Arial" w:hAnsi="Arial"/>
                <w:b w:val="0"/>
                <w:sz w:val="16"/>
              </w:rPr>
              <w:t>Leitfrage</w:t>
            </w:r>
          </w:p>
        </w:tc>
        <w:tc>
          <w:tcPr>
            <w:tcW w:type="dxa" w:w="3300"/>
            <w:vAlign w:val="top"/>
          </w:tcPr>
          <w:p>
            <w:r/>
            <w:r>
              <w:rPr>
                <w:rFonts w:ascii="Arial" w:hAnsi="Arial"/>
                <w:b w:val="0"/>
                <w:sz w:val="16"/>
              </w:rPr>
              <w:t>Kapitel beginnt mit einer klaren Frage.</w:t>
            </w:r>
          </w:p>
        </w:tc>
        <w:tc>
          <w:tcPr>
            <w:tcW w:type="dxa" w:w="3300"/>
            <w:vAlign w:val="top"/>
          </w:tcPr>
          <w:p>
            <w:r/>
            <w:r>
              <w:rPr>
                <w:rFonts w:ascii="Arial" w:hAnsi="Arial"/>
                <w:b w:val="0"/>
                <w:sz w:val="16"/>
              </w:rPr>
              <w:t>die Frage am Kapitelende direkt beantwortet wird.</w:t>
            </w:r>
          </w:p>
        </w:tc>
      </w:tr>
      <w:tr>
        <w:tc>
          <w:tcPr>
            <w:tcW w:type="dxa" w:w="2400"/>
            <w:vAlign w:val="top"/>
          </w:tcPr>
          <w:p>
            <w:r/>
            <w:r>
              <w:rPr>
                <w:rFonts w:ascii="Arial" w:hAnsi="Arial"/>
                <w:b w:val="0"/>
                <w:sz w:val="16"/>
              </w:rPr>
              <w:t>Primaeranker</w:t>
            </w:r>
          </w:p>
        </w:tc>
        <w:tc>
          <w:tcPr>
            <w:tcW w:type="dxa" w:w="3300"/>
            <w:vAlign w:val="top"/>
          </w:tcPr>
          <w:p>
            <w:r/>
            <w:r>
              <w:rPr>
                <w:rFonts w:ascii="Arial" w:hAnsi="Arial"/>
                <w:b w:val="0"/>
                <w:sz w:val="16"/>
              </w:rPr>
              <w:t>Mindestens zentrale Bibel-/Inschrift-/antike Textstellen sind genannt.</w:t>
            </w:r>
          </w:p>
        </w:tc>
        <w:tc>
          <w:tcPr>
            <w:tcW w:type="dxa" w:w="3300"/>
            <w:vAlign w:val="top"/>
          </w:tcPr>
          <w:p>
            <w:r/>
            <w:r>
              <w:rPr>
                <w:rFonts w:ascii="Arial" w:hAnsi="Arial"/>
                <w:b w:val="0"/>
                <w:sz w:val="16"/>
              </w:rPr>
              <w:t>jede Hauptthese einen Primaeranker besitzt oder die Nichtverfuegbarkeit markiert ist.</w:t>
            </w:r>
          </w:p>
        </w:tc>
      </w:tr>
      <w:tr>
        <w:tc>
          <w:tcPr>
            <w:tcW w:type="dxa" w:w="2400"/>
            <w:vAlign w:val="top"/>
          </w:tcPr>
          <w:p>
            <w:r/>
            <w:r>
              <w:rPr>
                <w:rFonts w:ascii="Arial" w:hAnsi="Arial"/>
                <w:b w:val="0"/>
                <w:sz w:val="16"/>
              </w:rPr>
              <w:t>Forschungsanker</w:t>
            </w:r>
          </w:p>
        </w:tc>
        <w:tc>
          <w:tcPr>
            <w:tcW w:type="dxa" w:w="3300"/>
            <w:vAlign w:val="top"/>
          </w:tcPr>
          <w:p>
            <w:r/>
            <w:r>
              <w:rPr>
                <w:rFonts w:ascii="Arial" w:hAnsi="Arial"/>
                <w:b w:val="0"/>
                <w:sz w:val="16"/>
              </w:rPr>
              <w:t>Mindestens eine tragfaehige Fachquelle je Kernthese.</w:t>
            </w:r>
          </w:p>
        </w:tc>
        <w:tc>
          <w:tcPr>
            <w:tcW w:type="dxa" w:w="3300"/>
            <w:vAlign w:val="top"/>
          </w:tcPr>
          <w:p>
            <w:r/>
            <w:r>
              <w:rPr>
                <w:rFonts w:ascii="Arial" w:hAnsi="Arial"/>
                <w:b w:val="0"/>
                <w:sz w:val="16"/>
              </w:rPr>
              <w:t>Sekundaerliteratur nicht nur genannt, sondern argumentativ passend zugeordnet ist.</w:t>
            </w:r>
          </w:p>
        </w:tc>
      </w:tr>
      <w:tr>
        <w:tc>
          <w:tcPr>
            <w:tcW w:type="dxa" w:w="2400"/>
            <w:vAlign w:val="top"/>
          </w:tcPr>
          <w:p>
            <w:r/>
            <w:r>
              <w:rPr>
                <w:rFonts w:ascii="Arial" w:hAnsi="Arial"/>
                <w:b w:val="0"/>
                <w:sz w:val="16"/>
              </w:rPr>
              <w:t>Beleggrad</w:t>
            </w:r>
          </w:p>
        </w:tc>
        <w:tc>
          <w:tcPr>
            <w:tcW w:type="dxa" w:w="3300"/>
            <w:vAlign w:val="top"/>
          </w:tcPr>
          <w:p>
            <w:r/>
            <w:r>
              <w:rPr>
                <w:rFonts w:ascii="Arial" w:hAnsi="Arial"/>
                <w:b w:val="0"/>
                <w:sz w:val="16"/>
              </w:rPr>
              <w:t>These ist als belegt, plausibel, strittig, nicht belegt oder Werturteil markiert.</w:t>
            </w:r>
          </w:p>
        </w:tc>
        <w:tc>
          <w:tcPr>
            <w:tcW w:type="dxa" w:w="3300"/>
            <w:vAlign w:val="top"/>
          </w:tcPr>
          <w:p>
            <w:r/>
            <w:r>
              <w:rPr>
                <w:rFonts w:ascii="Arial" w:hAnsi="Arial"/>
                <w:b w:val="0"/>
                <w:sz w:val="16"/>
              </w:rPr>
              <w:t>keine starke Behauptung ohne Beleggrad stehen bleibt.</w:t>
            </w:r>
          </w:p>
        </w:tc>
      </w:tr>
      <w:tr>
        <w:tc>
          <w:tcPr>
            <w:tcW w:type="dxa" w:w="2400"/>
            <w:vAlign w:val="top"/>
          </w:tcPr>
          <w:p>
            <w:r/>
            <w:r>
              <w:rPr>
                <w:rFonts w:ascii="Arial" w:hAnsi="Arial"/>
                <w:b w:val="0"/>
                <w:sz w:val="16"/>
              </w:rPr>
              <w:t>Gegenargument</w:t>
            </w:r>
          </w:p>
        </w:tc>
        <w:tc>
          <w:tcPr>
            <w:tcW w:type="dxa" w:w="3300"/>
            <w:vAlign w:val="top"/>
          </w:tcPr>
          <w:p>
            <w:r/>
            <w:r>
              <w:rPr>
                <w:rFonts w:ascii="Arial" w:hAnsi="Arial"/>
                <w:b w:val="0"/>
                <w:sz w:val="16"/>
              </w:rPr>
              <w:t>Strittige Punkte nennen mindestens eine Gegenposition oder Grenze.</w:t>
            </w:r>
          </w:p>
        </w:tc>
        <w:tc>
          <w:tcPr>
            <w:tcW w:type="dxa" w:w="3300"/>
            <w:vAlign w:val="top"/>
          </w:tcPr>
          <w:p>
            <w:r/>
            <w:r>
              <w:rPr>
                <w:rFonts w:ascii="Arial" w:hAnsi="Arial"/>
                <w:b w:val="0"/>
                <w:sz w:val="16"/>
              </w:rPr>
              <w:t>die Arbeit nicht nur bestaetigend, sondern kritisch pruefend argumentiert.</w:t>
            </w:r>
          </w:p>
        </w:tc>
      </w:tr>
      <w:tr>
        <w:tc>
          <w:tcPr>
            <w:tcW w:type="dxa" w:w="2400"/>
            <w:vAlign w:val="top"/>
          </w:tcPr>
          <w:p>
            <w:r/>
            <w:r>
              <w:rPr>
                <w:rFonts w:ascii="Arial" w:hAnsi="Arial"/>
                <w:b w:val="0"/>
                <w:sz w:val="16"/>
              </w:rPr>
              <w:t>Dopplung</w:t>
            </w:r>
          </w:p>
        </w:tc>
        <w:tc>
          <w:tcPr>
            <w:tcW w:type="dxa" w:w="3300"/>
            <w:vAlign w:val="top"/>
          </w:tcPr>
          <w:p>
            <w:r/>
            <w:r>
              <w:rPr>
                <w:rFonts w:ascii="Arial" w:hAnsi="Arial"/>
                <w:b w:val="0"/>
                <w:sz w:val="16"/>
              </w:rPr>
              <w:t>Altmaterial wird nicht unveraendert wiederholt.</w:t>
            </w:r>
          </w:p>
        </w:tc>
        <w:tc>
          <w:tcPr>
            <w:tcW w:type="dxa" w:w="3300"/>
            <w:vAlign w:val="top"/>
          </w:tcPr>
          <w:p>
            <w:r/>
            <w:r>
              <w:rPr>
                <w:rFonts w:ascii="Arial" w:hAnsi="Arial"/>
                <w:b w:val="0"/>
                <w:sz w:val="16"/>
              </w:rPr>
              <w:t>Anlagen nur dort auftauchen, wo sie argumentativ gebraucht werden.</w:t>
            </w:r>
          </w:p>
        </w:tc>
      </w:tr>
      <w:tr>
        <w:tc>
          <w:tcPr>
            <w:tcW w:type="dxa" w:w="2400"/>
            <w:vAlign w:val="top"/>
          </w:tcPr>
          <w:p>
            <w:r/>
            <w:r>
              <w:rPr>
                <w:rFonts w:ascii="Arial" w:hAnsi="Arial"/>
                <w:b w:val="0"/>
                <w:sz w:val="16"/>
              </w:rPr>
              <w:t>Layout</w:t>
            </w:r>
          </w:p>
        </w:tc>
        <w:tc>
          <w:tcPr>
            <w:tcW w:type="dxa" w:w="3300"/>
            <w:vAlign w:val="top"/>
          </w:tcPr>
          <w:p>
            <w:r/>
            <w:r>
              <w:rPr>
                <w:rFonts w:ascii="Arial" w:hAnsi="Arial"/>
                <w:b w:val="0"/>
                <w:sz w:val="16"/>
              </w:rPr>
              <w:t>Tabellen passen, Fussnoten erscheinen, keine Rohmarker.</w:t>
            </w:r>
          </w:p>
        </w:tc>
        <w:tc>
          <w:tcPr>
            <w:tcW w:type="dxa" w:w="3300"/>
            <w:vAlign w:val="top"/>
          </w:tcPr>
          <w:p>
            <w:r/>
            <w:r>
              <w:rPr>
                <w:rFonts w:ascii="Arial" w:hAnsi="Arial"/>
                <w:b w:val="0"/>
                <w:sz w:val="16"/>
              </w:rPr>
              <w:t>Renderpruefung ohne sichtbare Defekte bestanden ist.</w:t>
            </w:r>
          </w:p>
        </w:tc>
      </w:tr>
    </w:tbl>
    <w:p>
      <w:pPr>
        <w:pStyle w:val="Heading2"/>
      </w:pPr>
      <w:r>
        <w:t>6. Pilot-Anwendung auf die Hauptthese</w:t>
      </w:r>
    </w:p>
    <w:p>
      <w:r>
        <w:rPr>
          <w:rFonts w:ascii="Arial" w:hAnsi="Arial"/>
        </w:rPr>
        <w:t>Die Pilot-Anwendung zeigt, wie die Hauptthese in der Endredaktion behandelt werden soll: Sie wird nicht als einzelner Beweissatz formuliert, sondern als gestufte Argumentkette. Jede Stufe benoetigt einen anderen Belegtyp. Der Fehler waere, aus Motivparallelen sofort Identitaet zu folgern; die saubere Methode ist, zuerst Textbefund, dann Traditionsvergleich, dann historische Rekonstruktion und zuletzt theologische Bewertung zu trennen.</w:t>
      </w:r>
      <w:r>
        <w:footnoteReference w:id="95"/>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Stufe</w:t>
            </w:r>
          </w:p>
        </w:tc>
        <w:tc>
          <w:tcPr>
            <w:tcW w:type="dxa" w:w="2500"/>
            <w:vAlign w:val="top"/>
            <w:shd w:fill="F1F3F4"/>
          </w:tcPr>
          <w:p>
            <w:r/>
            <w:r>
              <w:rPr>
                <w:rFonts w:ascii="Arial" w:hAnsi="Arial"/>
                <w:b/>
                <w:sz w:val="16"/>
              </w:rPr>
              <w:t>Primaerer Belegmodus</w:t>
            </w:r>
          </w:p>
        </w:tc>
        <w:tc>
          <w:tcPr>
            <w:tcW w:type="dxa" w:w="3200"/>
            <w:vAlign w:val="top"/>
            <w:shd w:fill="F1F3F4"/>
          </w:tcPr>
          <w:p>
            <w:r/>
            <w:r>
              <w:rPr>
                <w:rFonts w:ascii="Arial" w:hAnsi="Arial"/>
                <w:b/>
                <w:sz w:val="16"/>
              </w:rPr>
              <w:t>Formulierbar</w:t>
            </w:r>
          </w:p>
        </w:tc>
        <w:tc>
          <w:tcPr>
            <w:tcW w:type="dxa" w:w="1500"/>
            <w:vAlign w:val="top"/>
            <w:shd w:fill="F1F3F4"/>
          </w:tcPr>
          <w:p>
            <w:r/>
            <w:r>
              <w:rPr>
                <w:rFonts w:ascii="Arial" w:hAnsi="Arial"/>
                <w:b/>
                <w:sz w:val="16"/>
              </w:rPr>
              <w:t>Zu vermeiden</w:t>
            </w:r>
          </w:p>
        </w:tc>
      </w:tr>
      <w:tr>
        <w:tc>
          <w:tcPr>
            <w:tcW w:type="dxa" w:w="1800"/>
            <w:vAlign w:val="top"/>
          </w:tcPr>
          <w:p>
            <w:r/>
            <w:r>
              <w:rPr>
                <w:rFonts w:ascii="Arial" w:hAnsi="Arial"/>
                <w:b w:val="0"/>
                <w:sz w:val="16"/>
              </w:rPr>
              <w:t>Argumentstufe</w:t>
            </w:r>
          </w:p>
        </w:tc>
        <w:tc>
          <w:tcPr>
            <w:tcW w:type="dxa" w:w="2500"/>
            <w:vAlign w:val="top"/>
          </w:tcPr>
          <w:p>
            <w:r/>
            <w:r>
              <w:rPr>
                <w:rFonts w:ascii="Arial" w:hAnsi="Arial"/>
                <w:b w:val="0"/>
                <w:sz w:val="16"/>
              </w:rPr>
              <w:t>Belegtyp</w:t>
            </w:r>
          </w:p>
        </w:tc>
        <w:tc>
          <w:tcPr>
            <w:tcW w:type="dxa" w:w="3200"/>
            <w:vAlign w:val="top"/>
          </w:tcPr>
          <w:p>
            <w:r/>
            <w:r>
              <w:rPr>
                <w:rFonts w:ascii="Arial" w:hAnsi="Arial"/>
                <w:b w:val="0"/>
                <w:sz w:val="16"/>
              </w:rPr>
              <w:t>Zulaessige Aussage</w:t>
            </w:r>
          </w:p>
        </w:tc>
        <w:tc>
          <w:tcPr>
            <w:tcW w:type="dxa" w:w="1500"/>
            <w:vAlign w:val="top"/>
          </w:tcPr>
          <w:p>
            <w:r/>
            <w:r>
              <w:rPr>
                <w:rFonts w:ascii="Arial" w:hAnsi="Arial"/>
                <w:b w:val="0"/>
                <w:sz w:val="16"/>
              </w:rPr>
              <w:t>Nicht zulaessige Ueberdehnung</w:t>
            </w:r>
          </w:p>
        </w:tc>
      </w:tr>
      <w:tr>
        <w:tc>
          <w:tcPr>
            <w:tcW w:type="dxa" w:w="1800"/>
            <w:vAlign w:val="top"/>
          </w:tcPr>
          <w:p>
            <w:r/>
            <w:r>
              <w:rPr>
                <w:rFonts w:ascii="Arial" w:hAnsi="Arial"/>
                <w:b w:val="0"/>
                <w:sz w:val="16"/>
              </w:rPr>
              <w:t>Israel im kanaanaeischen Raum</w:t>
            </w:r>
          </w:p>
        </w:tc>
        <w:tc>
          <w:tcPr>
            <w:tcW w:type="dxa" w:w="2500"/>
            <w:vAlign w:val="top"/>
          </w:tcPr>
          <w:p>
            <w:r/>
            <w:r>
              <w:rPr>
                <w:rFonts w:ascii="Arial" w:hAnsi="Arial"/>
                <w:b w:val="0"/>
                <w:sz w:val="16"/>
              </w:rPr>
              <w:t>Archaeologie, Merenptah-Stele, Hochlandsiedlungen</w:t>
            </w:r>
          </w:p>
        </w:tc>
        <w:tc>
          <w:tcPr>
            <w:tcW w:type="dxa" w:w="3200"/>
            <w:vAlign w:val="top"/>
          </w:tcPr>
          <w:p>
            <w:r/>
            <w:r>
              <w:rPr>
                <w:rFonts w:ascii="Arial" w:hAnsi="Arial"/>
                <w:b w:val="0"/>
                <w:sz w:val="16"/>
              </w:rPr>
              <w:t>Israel entsteht aus kanaanaeischen/gemischten Hochlandgruppen.</w:t>
            </w:r>
          </w:p>
        </w:tc>
        <w:tc>
          <w:tcPr>
            <w:tcW w:type="dxa" w:w="1500"/>
            <w:vAlign w:val="top"/>
          </w:tcPr>
          <w:p>
            <w:r/>
            <w:r>
              <w:rPr>
                <w:rFonts w:ascii="Arial" w:hAnsi="Arial"/>
                <w:b w:val="0"/>
                <w:sz w:val="16"/>
              </w:rPr>
              <w:t>Israel stammt als Ganzes direkt von Sumerern oder Anunnaki ab.</w:t>
            </w:r>
          </w:p>
        </w:tc>
      </w:tr>
      <w:tr>
        <w:tc>
          <w:tcPr>
            <w:tcW w:type="dxa" w:w="1800"/>
            <w:vAlign w:val="top"/>
          </w:tcPr>
          <w:p>
            <w:r/>
            <w:r>
              <w:rPr>
                <w:rFonts w:ascii="Arial" w:hAnsi="Arial"/>
                <w:b w:val="0"/>
                <w:sz w:val="16"/>
              </w:rPr>
              <w:t>El/JHWH</w:t>
            </w:r>
          </w:p>
        </w:tc>
        <w:tc>
          <w:tcPr>
            <w:tcW w:type="dxa" w:w="2500"/>
            <w:vAlign w:val="top"/>
          </w:tcPr>
          <w:p>
            <w:r/>
            <w:r>
              <w:rPr>
                <w:rFonts w:ascii="Arial" w:hAnsi="Arial"/>
                <w:b w:val="0"/>
                <w:sz w:val="16"/>
              </w:rPr>
              <w:t>Ugarit, El-Titel, biblische El-Bezeichnungen</w:t>
            </w:r>
          </w:p>
        </w:tc>
        <w:tc>
          <w:tcPr>
            <w:tcW w:type="dxa" w:w="3200"/>
            <w:vAlign w:val="top"/>
          </w:tcPr>
          <w:p>
            <w:r/>
            <w:r>
              <w:rPr>
                <w:rFonts w:ascii="Arial" w:hAnsi="Arial"/>
                <w:b w:val="0"/>
                <w:sz w:val="16"/>
              </w:rPr>
              <w:t>JHWH uebernimmt oder verschmilzt mit El-Funktionen.</w:t>
            </w:r>
          </w:p>
        </w:tc>
        <w:tc>
          <w:tcPr>
            <w:tcW w:type="dxa" w:w="1500"/>
            <w:vAlign w:val="top"/>
          </w:tcPr>
          <w:p>
            <w:r/>
            <w:r>
              <w:rPr>
                <w:rFonts w:ascii="Arial" w:hAnsi="Arial"/>
                <w:b w:val="0"/>
                <w:sz w:val="16"/>
              </w:rPr>
              <w:t>El und JHWH sind beweisbar von Anfang an derselbe Gott.</w:t>
            </w:r>
          </w:p>
        </w:tc>
      </w:tr>
      <w:tr>
        <w:tc>
          <w:tcPr>
            <w:tcW w:type="dxa" w:w="1800"/>
            <w:vAlign w:val="top"/>
          </w:tcPr>
          <w:p>
            <w:r/>
            <w:r>
              <w:rPr>
                <w:rFonts w:ascii="Arial" w:hAnsi="Arial"/>
                <w:b w:val="0"/>
                <w:sz w:val="16"/>
              </w:rPr>
              <w:t>Baal/Hadad-Motive</w:t>
            </w:r>
          </w:p>
        </w:tc>
        <w:tc>
          <w:tcPr>
            <w:tcW w:type="dxa" w:w="2500"/>
            <w:vAlign w:val="top"/>
          </w:tcPr>
          <w:p>
            <w:r/>
            <w:r>
              <w:rPr>
                <w:rFonts w:ascii="Arial" w:hAnsi="Arial"/>
                <w:b w:val="0"/>
                <w:sz w:val="16"/>
              </w:rPr>
              <w:t>Baal-Zyklus, Wetter-/Kriegs-/Chaoskampfmotive</w:t>
            </w:r>
          </w:p>
        </w:tc>
        <w:tc>
          <w:tcPr>
            <w:tcW w:type="dxa" w:w="3200"/>
            <w:vAlign w:val="top"/>
          </w:tcPr>
          <w:p>
            <w:r/>
            <w:r>
              <w:rPr>
                <w:rFonts w:ascii="Arial" w:hAnsi="Arial"/>
                <w:b w:val="0"/>
                <w:sz w:val="16"/>
              </w:rPr>
              <w:t>JHWH absorbiert Motive eines Wetter- und Kriegsgottes.</w:t>
            </w:r>
          </w:p>
        </w:tc>
        <w:tc>
          <w:tcPr>
            <w:tcW w:type="dxa" w:w="1500"/>
            <w:vAlign w:val="top"/>
          </w:tcPr>
          <w:p>
            <w:r/>
            <w:r>
              <w:rPr>
                <w:rFonts w:ascii="Arial" w:hAnsi="Arial"/>
                <w:b w:val="0"/>
                <w:sz w:val="16"/>
              </w:rPr>
              <w:t>Baal, Hadad und JHWH sind schlicht identisch.</w:t>
            </w:r>
          </w:p>
        </w:tc>
      </w:tr>
      <w:tr>
        <w:tc>
          <w:tcPr>
            <w:tcW w:type="dxa" w:w="1800"/>
            <w:vAlign w:val="top"/>
          </w:tcPr>
          <w:p>
            <w:r/>
            <w:r>
              <w:rPr>
                <w:rFonts w:ascii="Arial" w:hAnsi="Arial"/>
                <w:b w:val="0"/>
                <w:sz w:val="16"/>
              </w:rPr>
              <w:t>Aschera</w:t>
            </w:r>
          </w:p>
        </w:tc>
        <w:tc>
          <w:tcPr>
            <w:tcW w:type="dxa" w:w="2500"/>
            <w:vAlign w:val="top"/>
          </w:tcPr>
          <w:p>
            <w:r/>
            <w:r>
              <w:rPr>
                <w:rFonts w:ascii="Arial" w:hAnsi="Arial"/>
                <w:b w:val="0"/>
                <w:sz w:val="16"/>
              </w:rPr>
              <w:t>Kuntillet Ajrud, Khirbet el-Qom, biblische Polemik</w:t>
            </w:r>
          </w:p>
        </w:tc>
        <w:tc>
          <w:tcPr>
            <w:tcW w:type="dxa" w:w="3200"/>
            <w:vAlign w:val="top"/>
          </w:tcPr>
          <w:p>
            <w:r/>
            <w:r>
              <w:rPr>
                <w:rFonts w:ascii="Arial" w:hAnsi="Arial"/>
                <w:b w:val="0"/>
                <w:sz w:val="16"/>
              </w:rPr>
              <w:t>Aschera gehoerte wahrscheinlich zur gelebten Religion vieler Gruppen.</w:t>
            </w:r>
          </w:p>
        </w:tc>
        <w:tc>
          <w:tcPr>
            <w:tcW w:type="dxa" w:w="1500"/>
            <w:vAlign w:val="top"/>
          </w:tcPr>
          <w:p>
            <w:r/>
            <w:r>
              <w:rPr>
                <w:rFonts w:ascii="Arial" w:hAnsi="Arial"/>
                <w:b w:val="0"/>
                <w:sz w:val="16"/>
              </w:rPr>
              <w:t>Aschera ist sicher Mutter Jesu oder dauerhaft JHWHs Frau im spaeteren Monotheismus.</w:t>
            </w:r>
          </w:p>
        </w:tc>
      </w:tr>
      <w:tr>
        <w:tc>
          <w:tcPr>
            <w:tcW w:type="dxa" w:w="1800"/>
            <w:vAlign w:val="top"/>
          </w:tcPr>
          <w:p>
            <w:r/>
            <w:r>
              <w:rPr>
                <w:rFonts w:ascii="Arial" w:hAnsi="Arial"/>
                <w:b w:val="0"/>
                <w:sz w:val="16"/>
              </w:rPr>
              <w:t>Second Temple</w:t>
            </w:r>
          </w:p>
        </w:tc>
        <w:tc>
          <w:tcPr>
            <w:tcW w:type="dxa" w:w="2500"/>
            <w:vAlign w:val="top"/>
          </w:tcPr>
          <w:p>
            <w:r/>
            <w:r>
              <w:rPr>
                <w:rFonts w:ascii="Arial" w:hAnsi="Arial"/>
                <w:b w:val="0"/>
                <w:sz w:val="16"/>
              </w:rPr>
              <w:t>1 Henoch, Jubilaeen, DSS</w:t>
            </w:r>
          </w:p>
        </w:tc>
        <w:tc>
          <w:tcPr>
            <w:tcW w:type="dxa" w:w="3200"/>
            <w:vAlign w:val="top"/>
          </w:tcPr>
          <w:p>
            <w:r/>
            <w:r>
              <w:rPr>
                <w:rFonts w:ascii="Arial" w:hAnsi="Arial"/>
                <w:b w:val="0"/>
                <w:sz w:val="16"/>
              </w:rPr>
              <w:t>Alte Mehrzahl wird in Engel-/Daemonenfiguren umgedeutet.</w:t>
            </w:r>
          </w:p>
        </w:tc>
        <w:tc>
          <w:tcPr>
            <w:tcW w:type="dxa" w:w="1500"/>
            <w:vAlign w:val="top"/>
          </w:tcPr>
          <w:p>
            <w:r/>
            <w:r>
              <w:rPr>
                <w:rFonts w:ascii="Arial" w:hAnsi="Arial"/>
                <w:b w:val="0"/>
                <w:sz w:val="16"/>
              </w:rPr>
              <w:t>Erzengel und Waechter muessen fruehisraelitische Elohim mit Eigennamen gewesen sein.</w:t>
            </w:r>
          </w:p>
        </w:tc>
      </w:tr>
      <w:tr>
        <w:tc>
          <w:tcPr>
            <w:tcW w:type="dxa" w:w="1800"/>
            <w:vAlign w:val="top"/>
          </w:tcPr>
          <w:p>
            <w:r/>
            <w:r>
              <w:rPr>
                <w:rFonts w:ascii="Arial" w:hAnsi="Arial"/>
                <w:b w:val="0"/>
                <w:sz w:val="16"/>
              </w:rPr>
              <w:t>Anunnaki</w:t>
            </w:r>
          </w:p>
        </w:tc>
        <w:tc>
          <w:tcPr>
            <w:tcW w:type="dxa" w:w="2500"/>
            <w:vAlign w:val="top"/>
          </w:tcPr>
          <w:p>
            <w:r/>
            <w:r>
              <w:rPr>
                <w:rFonts w:ascii="Arial" w:hAnsi="Arial"/>
                <w:b w:val="0"/>
                <w:sz w:val="16"/>
              </w:rPr>
              <w:t>Mesopotamische Korpora, ORACC, Enuma Elish</w:t>
            </w:r>
          </w:p>
        </w:tc>
        <w:tc>
          <w:tcPr>
            <w:tcW w:type="dxa" w:w="3200"/>
            <w:vAlign w:val="top"/>
          </w:tcPr>
          <w:p>
            <w:r/>
            <w:r>
              <w:rPr>
                <w:rFonts w:ascii="Arial" w:hAnsi="Arial"/>
                <w:b w:val="0"/>
                <w:sz w:val="16"/>
              </w:rPr>
              <w:t>Mesopotamische Motive koennen Vergleichs- oder Einflussfragen eroeffnen.</w:t>
            </w:r>
          </w:p>
        </w:tc>
        <w:tc>
          <w:tcPr>
            <w:tcW w:type="dxa" w:w="1500"/>
            <w:vAlign w:val="top"/>
          </w:tcPr>
          <w:p>
            <w:r/>
            <w:r>
              <w:rPr>
                <w:rFonts w:ascii="Arial" w:hAnsi="Arial"/>
                <w:b w:val="0"/>
                <w:sz w:val="16"/>
              </w:rPr>
              <w:t>Anunnaki = Elohim oder Nephilim ist belegt.</w:t>
            </w:r>
          </w:p>
        </w:tc>
      </w:tr>
    </w:tbl>
    <w:p>
      <w:pPr>
        <w:pStyle w:val="Heading2"/>
      </w:pPr>
      <w:r>
        <w:t>7. Redaktionsregel fuer Alt-Hauptteil und Anlagen</w:t>
      </w:r>
    </w:p>
    <w:p>
      <w:r>
        <w:rPr>
          <w:rFonts w:ascii="Arial" w:hAnsi="Arial"/>
        </w:rPr>
        <w:t>Der nachfolgend angehaengte alte Hauptteil und die Anlagen bleiben fuer die Forschungsgeschichte wichtig, duerfen aber die kuenftige Lesefassung nicht dominieren. Fuer eine wissenschaftliche Fassung sollte der Hauptteil die Antwortkapitel 1 bis 12 tragen; Alt-Hauptteil und Anlagen werden entweder gekuerzt, als Archivanhang gefuehrt oder in ein separates Quellen- und Arbeitsmaterialdokument ausgelagert.</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Bestandteil</w:t>
            </w:r>
          </w:p>
        </w:tc>
        <w:tc>
          <w:tcPr>
            <w:tcW w:type="dxa" w:w="2500"/>
            <w:vAlign w:val="top"/>
            <w:shd w:fill="F1F3F4"/>
          </w:tcPr>
          <w:p>
            <w:r/>
            <w:r>
              <w:rPr>
                <w:rFonts w:ascii="Arial" w:hAnsi="Arial"/>
                <w:b/>
                <w:sz w:val="16"/>
              </w:rPr>
              <w:t>Funktion</w:t>
            </w:r>
          </w:p>
        </w:tc>
        <w:tc>
          <w:tcPr>
            <w:tcW w:type="dxa" w:w="3200"/>
            <w:vAlign w:val="top"/>
            <w:shd w:fill="F1F3F4"/>
          </w:tcPr>
          <w:p>
            <w:r/>
            <w:r>
              <w:rPr>
                <w:rFonts w:ascii="Arial" w:hAnsi="Arial"/>
                <w:b/>
                <w:sz w:val="16"/>
              </w:rPr>
              <w:t>Redaktion</w:t>
            </w:r>
          </w:p>
        </w:tc>
        <w:tc>
          <w:tcPr>
            <w:tcW w:type="dxa" w:w="1500"/>
            <w:vAlign w:val="top"/>
            <w:shd w:fill="F1F3F4"/>
          </w:tcPr>
          <w:p>
            <w:r/>
            <w:r>
              <w:rPr>
                <w:rFonts w:ascii="Arial" w:hAnsi="Arial"/>
                <w:b/>
                <w:sz w:val="16"/>
              </w:rPr>
              <w:t>Begruendung</w:t>
            </w:r>
          </w:p>
        </w:tc>
      </w:tr>
      <w:tr>
        <w:tc>
          <w:tcPr>
            <w:tcW w:type="dxa" w:w="1800"/>
            <w:vAlign w:val="top"/>
          </w:tcPr>
          <w:p>
            <w:r/>
            <w:r>
              <w:rPr>
                <w:rFonts w:ascii="Arial" w:hAnsi="Arial"/>
                <w:b w:val="0"/>
                <w:sz w:val="16"/>
              </w:rPr>
              <w:t>Antwortkapitel 1-12</w:t>
            </w:r>
          </w:p>
        </w:tc>
        <w:tc>
          <w:tcPr>
            <w:tcW w:type="dxa" w:w="2500"/>
            <w:vAlign w:val="top"/>
          </w:tcPr>
          <w:p>
            <w:r/>
            <w:r>
              <w:rPr>
                <w:rFonts w:ascii="Arial" w:hAnsi="Arial"/>
                <w:b w:val="0"/>
                <w:sz w:val="16"/>
              </w:rPr>
              <w:t>Zentraler Haupttext</w:t>
            </w:r>
          </w:p>
        </w:tc>
        <w:tc>
          <w:tcPr>
            <w:tcW w:type="dxa" w:w="3200"/>
            <w:vAlign w:val="top"/>
          </w:tcPr>
          <w:p>
            <w:r/>
            <w:r>
              <w:rPr>
                <w:rFonts w:ascii="Arial" w:hAnsi="Arial"/>
                <w:b w:val="0"/>
                <w:sz w:val="16"/>
              </w:rPr>
              <w:t>Behalten und fussnotieren</w:t>
            </w:r>
          </w:p>
        </w:tc>
        <w:tc>
          <w:tcPr>
            <w:tcW w:type="dxa" w:w="1500"/>
            <w:vAlign w:val="top"/>
          </w:tcPr>
          <w:p>
            <w:r/>
            <w:r>
              <w:rPr>
                <w:rFonts w:ascii="Arial" w:hAnsi="Arial"/>
                <w:b w:val="0"/>
                <w:sz w:val="16"/>
              </w:rPr>
              <w:t>Tragender wissenschaftlicher Teil</w:t>
            </w:r>
          </w:p>
        </w:tc>
      </w:tr>
      <w:tr>
        <w:tc>
          <w:tcPr>
            <w:tcW w:type="dxa" w:w="1800"/>
            <w:vAlign w:val="top"/>
          </w:tcPr>
          <w:p>
            <w:r/>
            <w:r>
              <w:rPr>
                <w:rFonts w:ascii="Arial" w:hAnsi="Arial"/>
                <w:b w:val="0"/>
                <w:sz w:val="16"/>
              </w:rPr>
              <w:t>Alter Hauptteil</w:t>
            </w:r>
          </w:p>
        </w:tc>
        <w:tc>
          <w:tcPr>
            <w:tcW w:type="dxa" w:w="2500"/>
            <w:vAlign w:val="top"/>
          </w:tcPr>
          <w:p>
            <w:r/>
            <w:r>
              <w:rPr>
                <w:rFonts w:ascii="Arial" w:hAnsi="Arial"/>
                <w:b w:val="0"/>
                <w:sz w:val="16"/>
              </w:rPr>
              <w:t>Fruehere Arbeitsfassung</w:t>
            </w:r>
          </w:p>
        </w:tc>
        <w:tc>
          <w:tcPr>
            <w:tcW w:type="dxa" w:w="3200"/>
            <w:vAlign w:val="top"/>
          </w:tcPr>
          <w:p>
            <w:r/>
            <w:r>
              <w:rPr>
                <w:rFonts w:ascii="Arial" w:hAnsi="Arial"/>
                <w:b w:val="0"/>
                <w:sz w:val="16"/>
              </w:rPr>
              <w:t>Kuerzen oder Archivanhang</w:t>
            </w:r>
          </w:p>
        </w:tc>
        <w:tc>
          <w:tcPr>
            <w:tcW w:type="dxa" w:w="1500"/>
            <w:vAlign w:val="top"/>
          </w:tcPr>
          <w:p>
            <w:r/>
            <w:r>
              <w:rPr>
                <w:rFonts w:ascii="Arial" w:hAnsi="Arial"/>
                <w:b w:val="0"/>
                <w:sz w:val="16"/>
              </w:rPr>
              <w:t>Nur behalten, wo Inhalt nicht doppelt vorkommt</w:t>
            </w:r>
          </w:p>
        </w:tc>
      </w:tr>
      <w:tr>
        <w:tc>
          <w:tcPr>
            <w:tcW w:type="dxa" w:w="1800"/>
            <w:vAlign w:val="top"/>
          </w:tcPr>
          <w:p>
            <w:r/>
            <w:r>
              <w:rPr>
                <w:rFonts w:ascii="Arial" w:hAnsi="Arial"/>
                <w:b w:val="0"/>
                <w:sz w:val="16"/>
              </w:rPr>
              <w:t>Synthesen A-N</w:t>
            </w:r>
          </w:p>
        </w:tc>
        <w:tc>
          <w:tcPr>
            <w:tcW w:type="dxa" w:w="2500"/>
            <w:vAlign w:val="top"/>
          </w:tcPr>
          <w:p>
            <w:r/>
            <w:r>
              <w:rPr>
                <w:rFonts w:ascii="Arial" w:hAnsi="Arial"/>
                <w:b w:val="0"/>
                <w:sz w:val="16"/>
              </w:rPr>
              <w:t>Auswertung der Anlagen</w:t>
            </w:r>
          </w:p>
        </w:tc>
        <w:tc>
          <w:tcPr>
            <w:tcW w:type="dxa" w:w="3200"/>
            <w:vAlign w:val="top"/>
          </w:tcPr>
          <w:p>
            <w:r/>
            <w:r>
              <w:rPr>
                <w:rFonts w:ascii="Arial" w:hAnsi="Arial"/>
                <w:b w:val="0"/>
                <w:sz w:val="16"/>
              </w:rPr>
              <w:t>Im Hauptteil behalten</w:t>
            </w:r>
          </w:p>
        </w:tc>
        <w:tc>
          <w:tcPr>
            <w:tcW w:type="dxa" w:w="1500"/>
            <w:vAlign w:val="top"/>
          </w:tcPr>
          <w:p>
            <w:r/>
            <w:r>
              <w:rPr>
                <w:rFonts w:ascii="Arial" w:hAnsi="Arial"/>
                <w:b w:val="0"/>
                <w:sz w:val="16"/>
              </w:rPr>
              <w:t>Dienen als argumentative Ueberfuehrung</w:t>
            </w:r>
          </w:p>
        </w:tc>
      </w:tr>
      <w:tr>
        <w:tc>
          <w:tcPr>
            <w:tcW w:type="dxa" w:w="1800"/>
            <w:vAlign w:val="top"/>
          </w:tcPr>
          <w:p>
            <w:r/>
            <w:r>
              <w:rPr>
                <w:rFonts w:ascii="Arial" w:hAnsi="Arial"/>
                <w:b w:val="0"/>
                <w:sz w:val="16"/>
              </w:rPr>
              <w:t>Originalanlagen</w:t>
            </w:r>
          </w:p>
        </w:tc>
        <w:tc>
          <w:tcPr>
            <w:tcW w:type="dxa" w:w="2500"/>
            <w:vAlign w:val="top"/>
          </w:tcPr>
          <w:p>
            <w:r/>
            <w:r>
              <w:rPr>
                <w:rFonts w:ascii="Arial" w:hAnsi="Arial"/>
                <w:b w:val="0"/>
                <w:sz w:val="16"/>
              </w:rPr>
              <w:t>Dokumentation</w:t>
            </w:r>
          </w:p>
        </w:tc>
        <w:tc>
          <w:tcPr>
            <w:tcW w:type="dxa" w:w="3200"/>
            <w:vAlign w:val="top"/>
          </w:tcPr>
          <w:p>
            <w:r/>
            <w:r>
              <w:rPr>
                <w:rFonts w:ascii="Arial" w:hAnsi="Arial"/>
                <w:b w:val="0"/>
                <w:sz w:val="16"/>
              </w:rPr>
              <w:t>Anhang/Archiv</w:t>
            </w:r>
          </w:p>
        </w:tc>
        <w:tc>
          <w:tcPr>
            <w:tcW w:type="dxa" w:w="1500"/>
            <w:vAlign w:val="top"/>
          </w:tcPr>
          <w:p>
            <w:r/>
            <w:r>
              <w:rPr>
                <w:rFonts w:ascii="Arial" w:hAnsi="Arial"/>
                <w:b w:val="0"/>
                <w:sz w:val="16"/>
              </w:rPr>
              <w:t>Nicht als fertige wissenschaftliche Argumentation behandeln</w:t>
            </w:r>
          </w:p>
        </w:tc>
      </w:tr>
    </w:tbl>
    <w:p>
      <w:pPr>
        <w:pStyle w:val="Heading2"/>
      </w:pPr>
      <w:r>
        <w:t>8. Ergebnis und Kapitelstatus</w:t>
      </w:r>
    </w:p>
    <w:p>
      <w:r>
        <w:rPr>
          <w:rFonts w:ascii="Arial" w:hAnsi="Arial"/>
        </w:rPr>
        <w:t>Kapitel 12 liegt als druckreifer Endredaktions-Pilot V1 vor. Es legt Belegstandard, Belegmatrix, Rest-Fussnotenfolge, Druckreife-Kriterien, Pilot-Anwendung auf die Hauptthese und Altmaterial-Regeln fest. Damit sind Vereinheitlichung des Fussnotenapparats, Literaturdaten-Normalisierung und Kuerzung von Doppelungen im Alt-Hauptteil und in den Anlagen als Abschlusskette definiert.</w:t>
      </w:r>
    </w:p>
    <w:p>
      <w:pPr>
        <w:pStyle w:val="Heading2"/>
      </w:pPr>
      <w:r>
        <w:t>9. Druckreifepruefung Kapitel 12</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Belegstandard definiert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Belegmatrix, Belegtypen und Druckreife-Kriterien sind festgelegt.</w:t>
            </w:r>
          </w:p>
        </w:tc>
      </w:tr>
      <w:tr>
        <w:tc>
          <w:tcPr>
            <w:tcW w:type="dxa" w:w="2400"/>
            <w:vAlign w:val="top"/>
          </w:tcPr>
          <w:p>
            <w:r/>
            <w:r>
              <w:rPr>
                <w:rFonts w:ascii="Arial" w:hAnsi="Arial"/>
                <w:b w:val="0"/>
                <w:sz w:val="16"/>
              </w:rPr>
              <w:t>Altmaterial-Regel gesetzt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Alte Anlagen und Arbeitsnotizen werden nicht unkontrolliert dupliziert, sondern gekuerzt und integriert.</w:t>
            </w:r>
          </w:p>
        </w:tc>
      </w:tr>
      <w:tr>
        <w:tc>
          <w:tcPr>
            <w:tcW w:type="dxa" w:w="2400"/>
            <w:vAlign w:val="top"/>
          </w:tcPr>
          <w:p>
            <w:r/>
            <w:r>
              <w:rPr>
                <w:rFonts w:ascii="Arial" w:hAnsi="Arial"/>
                <w:b w:val="0"/>
                <w:sz w:val="16"/>
              </w:rPr>
              <w:t>Hauptthese kontrollierbar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Die Pilot-Anwendung zeigt, wie die Transformationsformel belegt und abgegrenzt wird.</w:t>
            </w:r>
          </w:p>
        </w:tc>
      </w:tr>
      <w:tr>
        <w:tc>
          <w:tcPr>
            <w:tcW w:type="dxa" w:w="2400"/>
            <w:vAlign w:val="top"/>
          </w:tcPr>
          <w:p>
            <w:r/>
            <w:r>
              <w:rPr>
                <w:rFonts w:ascii="Arial" w:hAnsi="Arial"/>
                <w:b w:val="0"/>
                <w:sz w:val="16"/>
              </w:rPr>
              <w:t>Technische Endredaktion vorbereitet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Fussnotenapparat, Literaturdaten und Layoutpruefung sind als naechste technische Schritte definiert.</w:t>
            </w:r>
          </w:p>
        </w:tc>
      </w:tr>
    </w:tbl>
    <w:p>
      <w:r>
        <w:br w:type="page"/>
      </w:r>
    </w:p>
    <w:p>
      <w:pPr>
        <w:pStyle w:val="Heading1"/>
      </w:pPr>
      <w:r>
        <w:t>Kapitel 13: Echte Fussnoten - Pilotfassung</w:t>
      </w:r>
    </w:p>
    <w:p>
      <w:r>
        <w:rPr>
          <w:rFonts w:ascii="Arial" w:hAnsi="Arial"/>
        </w:rPr>
        <w:t>Leitfrage: Wie kann die bisherige Arbeitsfassung technisch in eine wissenschaftliche Belegfassung ueberfuehrt werden? Dieses Kapitel ist der erste praktische Fussnoten-Pilot. Die hier gesetzten Belege sind bewusst auf Kernthesen beschraenkt. Sie zeigen das spaetere Verfahren: zentrale Aussagen werden nicht nur in Tabellen begruendet, sondern mit echten Word-Fussnoten an der Textstelle belegt.</w:t>
      </w:r>
    </w:p>
    <w:p>
      <w:pPr>
        <w:pStyle w:val="Heading2"/>
      </w:pPr>
      <w:r>
        <w:t>1. Ergebnis in Kurzform</w:t>
      </w:r>
    </w:p>
    <w:p>
      <w:r>
        <w:rPr>
          <w:rFonts w:ascii="Arial" w:hAnsi="Arial"/>
        </w:rPr>
        <w:t>Der Pilot bestaetigt die redaktionelle Richtung aus Kapitel 12: Die Endfassung arbeitet primaer mit Fussnoten, waehrend Tabellen und Anlagen die Orientierung liefern. Jede Kernthese im Hauptteil wird mit Primaeranker, Forschungsanker oder klarer Quellenebenenmarkierung verbunden.</w:t>
      </w:r>
      <w:r>
        <w:footnoteReference w:id="96"/>
      </w:r>
    </w:p>
    <w:p>
      <w:pPr>
        <w:pStyle w:val="ListBullet"/>
      </w:pPr>
      <w:r>
        <w:rPr>
          <w:rFonts w:ascii="Arial" w:hAnsi="Arial"/>
        </w:rPr>
        <w:t>Fussnoten werden an der ersten entscheidenden Aussage gesetzt, nicht erst am Kapitelende.</w:t>
      </w:r>
    </w:p>
    <w:p>
      <w:pPr>
        <w:pStyle w:val="ListBullet"/>
      </w:pPr>
      <w:r>
        <w:rPr>
          <w:rFonts w:ascii="Arial" w:hAnsi="Arial"/>
        </w:rPr>
        <w:t>Jede Fussnote soll erkennen lassen, ob sie Primaertext, Textkritik, Inschrift, archaeologischen Befund oder Sekundaerliteratur belegt.</w:t>
      </w:r>
    </w:p>
    <w:p>
      <w:pPr>
        <w:pStyle w:val="ListBullet"/>
      </w:pPr>
      <w:r>
        <w:rPr>
          <w:rFonts w:ascii="Arial" w:hAnsi="Arial"/>
        </w:rPr>
        <w:t>Arbeitsdokumente bleiben im Quellenapparat als interne Materialien kenntlich und werden nicht mit Fachliteratur gleichgesetzt.</w:t>
      </w:r>
    </w:p>
    <w:p>
      <w:pPr>
        <w:pStyle w:val="ListBullet"/>
      </w:pPr>
      <w:r>
        <w:rPr>
          <w:rFonts w:ascii="Arial" w:hAnsi="Arial"/>
        </w:rPr>
        <w:t>Der Pilot ist inzwischen skaliert: Kapitel 1-14 und Anlage N besitzen echte Word-Fussnoten; ausgewaehlte Anlagenstellen sind als Nachweis- und Archivmaterial ausgewiesen.</w:t>
      </w:r>
    </w:p>
    <w:p>
      <w:pPr>
        <w:pStyle w:val="Heading2"/>
      </w:pPr>
      <w:r>
        <w:t>2. Pilotpassage mit Kernbelegen</w:t>
      </w:r>
    </w:p>
    <w:p>
      <w:r>
        <w:rPr>
          <w:rFonts w:ascii="Arial" w:hAnsi="Arial"/>
        </w:rPr>
        <w:t>Die erste belastbare historische Ausgangsthese lautet: Israel erscheint ausserbiblisch spaetestens in der Merenptah-Stele als Gruppe im kanaanaeischen Raum. Damit ist die Entstehung Israels nicht als einfacher Import eines fertigen Volkes aus Mesopotamien oder Aegypten zu behandeln, sondern als Ethnogenese im suedlevantinischen Umfeld.</w:t>
      </w:r>
      <w:r>
        <w:footnoteReference w:id="97"/>
      </w:r>
    </w:p>
    <w:p>
      <w:r>
        <w:rPr>
          <w:rFonts w:ascii="Arial" w:hAnsi="Arial"/>
        </w:rPr>
        <w:t>Der wichtigste religionsgeschichtliche Vergleichshorizont fuer JHWH ist nicht primaer der mesopotamische Anunnaki-Komplex, sondern die westsemitisch-kanaanaeische Welt mit El, Athirat/Aschera, Baal/Hadad und dem goettlichen Rat. Die These einer direkten Universalidentitaet aller Gottheiten bleibt deshalb zu stark; tragfaehiger ist ein Modell von Identifikation, Titeluebernahme, Funktionsuebernahme und spaeterer Umdeutung.</w:t>
      </w:r>
      <w:r>
        <w:footnoteReference w:id="98"/>
      </w:r>
    </w:p>
    <w:p>
      <w:r>
        <w:rPr>
          <w:rFonts w:ascii="Arial" w:hAnsi="Arial"/>
        </w:rPr>
        <w:t>Dtn 32,8-9 ist fuer dieses Modell eine Schaltstelle, weil die aelteren Textzeugen mit einer Lesart wie 'Soehne Gottes' eine Voelkerordnung nach goettlichen Wesen erkennen lassen, waehrend der masoretische Text mit 'Soehne Israels' bereits anders akzentuiert. Diese Stelle beweist nicht allein das gesamte Entwicklungsmodell, sie macht aber plausibel, dass JHWH in einer aelteren Goetter- und Voelkerordnung als Gott Israels gedacht werden konnte.</w:t>
      </w:r>
      <w:r>
        <w:footnoteReference w:id="99"/>
      </w:r>
    </w:p>
    <w:p>
      <w:r>
        <w:rPr>
          <w:rFonts w:ascii="Arial" w:hAnsi="Arial"/>
        </w:rPr>
        <w:t>Psalm 82 gehoert in denselben Problemkreis: Der Text zeigt eine goettliche Rats- oder Gerichtsszene, in der Gott inmitten anderer elohim richtet. Fuer die Arbeit ist entscheidend, dass elohim hier nicht schlicht als Eigenname einer festen Gruppe behandelt werden darf, sondern kontextabhaengig Gott, Goetter oder goettliche Wesen bezeichnen kann.</w:t>
      </w:r>
      <w:r>
        <w:footnoteReference w:id="100"/>
      </w:r>
    </w:p>
    <w:p>
      <w:r>
        <w:rPr>
          <w:rFonts w:ascii="Arial" w:hAnsi="Arial"/>
        </w:rPr>
        <w:t>Die Aschera-Frage muss separat bleiben. Kuntillet Ajrud und Khirbet el-Qom zeigen, dass Formulierungen wie 'JHWH und seine Aschera' fuer die gelebte Religion Israels/Judas wichtig sind; ob damit in jedem Fall die Goettin selbst, ein Kultsymbol oder eine Hypostase gemeint ist, bleibt strittig. Gerade diese Unsicherheit macht die Stelle wissenschaftlich wertvoll, weil sie Volksreligion und normative Bibeltheologie voneinander trennt.</w:t>
      </w:r>
      <w:r>
        <w:footnoteReference w:id="101"/>
      </w:r>
    </w:p>
    <w:p>
      <w:r>
        <w:rPr>
          <w:rFonts w:ascii="Arial" w:hAnsi="Arial"/>
        </w:rPr>
        <w:t>Die Anunnaki-Frage wird daher als Vergleichs- und Einflussfrage gefuehrt, nicht als direkte Identitaetsthese. Mesopotamische Anunna/Anunnaki sind eine wechselnde Goettergruppe in mesopotamischen Traditionen; elohim ist dagegen ein hebr. Begriffsfeld fuer Gott, Goetter oder goettliche Wesen. Aehnlichkeiten im altorientalischen Kulturraum koennen Einfluss, Parallelentwicklung oder spaetere Deutung anzeigen, aber keine automatische Gleichsetzung.</w:t>
      </w:r>
      <w:r>
        <w:footnoteReference w:id="102"/>
      </w:r>
    </w:p>
    <w:p>
      <w:r>
        <w:rPr>
          <w:rFonts w:ascii="Arial" w:hAnsi="Arial"/>
        </w:rPr>
        <w:t>Die spaetere Umdeutung goettlicher Wesen zu Engeln, Waechtern, Daemonen, Satan-/Belial-/Mastema-Figuren und himmlischen Fuersten gehoert vor allem in die exilische, nachexilische und Second-Temple-Phase. Sie darf nicht unkritisch in die fruehisraelitische Phase zurueckprojiziert werden.</w:t>
      </w:r>
      <w:r>
        <w:footnoteReference w:id="103"/>
      </w:r>
    </w:p>
    <w:p>
      <w:r>
        <w:rPr>
          <w:rFonts w:ascii="Arial" w:hAnsi="Arial"/>
        </w:rPr>
        <w:t>Schliesslich bleibt die Gewalt- und Opferfrage fuer die Schlussbewertung zentral: Herem, Plagen, Opfer, Kinderopferpolemik und Gerichtstexte koennen nicht einfach moralisch neutralisiert werden. Die wissenschaftliche Arbeit muss zwischen historischer Kontextualisierung, literarischer Theologie und heutiger ethischer Bewertung unterscheiden.</w:t>
      </w:r>
      <w:r>
        <w:footnoteReference w:id="104"/>
      </w:r>
    </w:p>
    <w:p>
      <w:r>
        <w:br w:type="page"/>
      </w:r>
    </w:p>
    <w:p>
      <w:pPr>
        <w:pStyle w:val="Heading2"/>
      </w:pPr>
      <w:r>
        <w:t>3. Stand der Fussnoten und Restausbau</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Status</w:t>
            </w:r>
          </w:p>
        </w:tc>
        <w:tc>
          <w:tcPr>
            <w:tcW w:type="dxa" w:w="2500"/>
            <w:vAlign w:val="top"/>
            <w:shd w:fill="F1F3F4"/>
          </w:tcPr>
          <w:p>
            <w:r/>
            <w:r>
              <w:rPr>
                <w:rFonts w:ascii="Arial" w:hAnsi="Arial"/>
                <w:b/>
                <w:sz w:val="16"/>
              </w:rPr>
              <w:t>Bereich</w:t>
            </w:r>
          </w:p>
        </w:tc>
        <w:tc>
          <w:tcPr>
            <w:tcW w:type="dxa" w:w="3200"/>
            <w:vAlign w:val="top"/>
            <w:shd w:fill="F1F3F4"/>
          </w:tcPr>
          <w:p>
            <w:r/>
            <w:r>
              <w:rPr>
                <w:rFonts w:ascii="Arial" w:hAnsi="Arial"/>
                <w:b/>
                <w:sz w:val="16"/>
              </w:rPr>
              <w:t>Material</w:t>
            </w:r>
          </w:p>
        </w:tc>
        <w:tc>
          <w:tcPr>
            <w:tcW w:type="dxa" w:w="1500"/>
            <w:vAlign w:val="top"/>
            <w:shd w:fill="F1F3F4"/>
          </w:tcPr>
          <w:p>
            <w:r/>
            <w:r>
              <w:rPr>
                <w:rFonts w:ascii="Arial" w:hAnsi="Arial"/>
                <w:b/>
                <w:sz w:val="16"/>
              </w:rPr>
              <w:t>Arbeitsregel</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1</w:t>
            </w:r>
          </w:p>
        </w:tc>
        <w:tc>
          <w:tcPr>
            <w:tcW w:type="dxa" w:w="3200"/>
            <w:vAlign w:val="top"/>
          </w:tcPr>
          <w:p>
            <w:r/>
            <w:r>
              <w:rPr>
                <w:rFonts w:ascii="Arial" w:hAnsi="Arial"/>
                <w:b w:val="0"/>
                <w:sz w:val="16"/>
              </w:rPr>
              <w:t>Einleitung, Methodik, Forschungsfrage</w:t>
            </w:r>
          </w:p>
        </w:tc>
        <w:tc>
          <w:tcPr>
            <w:tcW w:type="dxa" w:w="1500"/>
            <w:vAlign w:val="top"/>
          </w:tcPr>
          <w:p>
            <w:r/>
            <w:r>
              <w:rPr>
                <w:rFonts w:ascii="Arial" w:hAnsi="Arial"/>
                <w:b w:val="0"/>
                <w:sz w:val="16"/>
              </w:rPr>
              <w:t>Rueckwirkend an Endstand und Beleggrade angepasst; echte Fussnoten gesetzt.</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2</w:t>
            </w:r>
          </w:p>
        </w:tc>
        <w:tc>
          <w:tcPr>
            <w:tcW w:type="dxa" w:w="3200"/>
            <w:vAlign w:val="top"/>
          </w:tcPr>
          <w:p>
            <w:r/>
            <w:r>
              <w:rPr>
                <w:rFonts w:ascii="Arial" w:hAnsi="Arial"/>
                <w:b w:val="0"/>
                <w:sz w:val="16"/>
              </w:rPr>
              <w:t>Dtn 32,8-9, Ps 82, 1 Koen 22</w:t>
            </w:r>
          </w:p>
        </w:tc>
        <w:tc>
          <w:tcPr>
            <w:tcW w:type="dxa" w:w="1500"/>
            <w:vAlign w:val="top"/>
          </w:tcPr>
          <w:p>
            <w:r/>
            <w:r>
              <w:rPr>
                <w:rFonts w:ascii="Arial" w:hAnsi="Arial"/>
                <w:b w:val="0"/>
                <w:sz w:val="16"/>
              </w:rPr>
              <w:t>Druckreife Lesefassung mit Textkritik, Hofstaat-Kontrolltext und Antwortmatrix; bei Endredaktion Literaturdaten normalisieren.</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3</w:t>
            </w:r>
          </w:p>
        </w:tc>
        <w:tc>
          <w:tcPr>
            <w:tcW w:type="dxa" w:w="3200"/>
            <w:vAlign w:val="top"/>
          </w:tcPr>
          <w:p>
            <w:r/>
            <w:r>
              <w:rPr>
                <w:rFonts w:ascii="Arial" w:hAnsi="Arial"/>
                <w:b w:val="0"/>
                <w:sz w:val="16"/>
              </w:rPr>
              <w:t>Ugarit, El, Baal, Athirat, Soehne Els</w:t>
            </w:r>
          </w:p>
        </w:tc>
        <w:tc>
          <w:tcPr>
            <w:tcW w:type="dxa" w:w="1500"/>
            <w:vAlign w:val="top"/>
          </w:tcPr>
          <w:p>
            <w:r/>
            <w:r>
              <w:rPr>
                <w:rFonts w:ascii="Arial" w:hAnsi="Arial"/>
                <w:b w:val="0"/>
                <w:sz w:val="16"/>
              </w:rPr>
              <w:t>Primaer- und Forschungsanker gesetzt; genaue Textnummern spaeter vereinheitlichen.</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4</w:t>
            </w:r>
          </w:p>
        </w:tc>
        <w:tc>
          <w:tcPr>
            <w:tcW w:type="dxa" w:w="3200"/>
            <w:vAlign w:val="top"/>
          </w:tcPr>
          <w:p>
            <w:r/>
            <w:r>
              <w:rPr>
                <w:rFonts w:ascii="Arial" w:hAnsi="Arial"/>
                <w:b w:val="0"/>
                <w:sz w:val="16"/>
              </w:rPr>
              <w:t>Kuntillet Ajrud, Khirbet el-Qom, Aschera</w:t>
            </w:r>
          </w:p>
        </w:tc>
        <w:tc>
          <w:tcPr>
            <w:tcW w:type="dxa" w:w="1500"/>
            <w:vAlign w:val="top"/>
          </w:tcPr>
          <w:p>
            <w:r/>
            <w:r>
              <w:rPr>
                <w:rFonts w:ascii="Arial" w:hAnsi="Arial"/>
                <w:b w:val="0"/>
                <w:sz w:val="16"/>
              </w:rPr>
              <w:t>Inschrift, Lesung und Deutungsoption getrennt belegt; Streitdossier bleibt offen fuer Feinschliff.</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5</w:t>
            </w:r>
          </w:p>
        </w:tc>
        <w:tc>
          <w:tcPr>
            <w:tcW w:type="dxa" w:w="3200"/>
            <w:vAlign w:val="top"/>
          </w:tcPr>
          <w:p>
            <w:r/>
            <w:r>
              <w:rPr>
                <w:rFonts w:ascii="Arial" w:hAnsi="Arial"/>
                <w:b w:val="0"/>
                <w:sz w:val="16"/>
              </w:rPr>
              <w:t>Baal/Hadad-Motive bei JHWH</w:t>
            </w:r>
          </w:p>
        </w:tc>
        <w:tc>
          <w:tcPr>
            <w:tcW w:type="dxa" w:w="1500"/>
            <w:vAlign w:val="top"/>
          </w:tcPr>
          <w:p>
            <w:r/>
            <w:r>
              <w:rPr>
                <w:rFonts w:ascii="Arial" w:hAnsi="Arial"/>
                <w:b w:val="0"/>
                <w:sz w:val="16"/>
              </w:rPr>
              <w:t>Motivuebernahme gegen direkte Identitaet abgegrenzt.</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6-7</w:t>
            </w:r>
          </w:p>
        </w:tc>
        <w:tc>
          <w:tcPr>
            <w:tcW w:type="dxa" w:w="3200"/>
            <w:vAlign w:val="top"/>
          </w:tcPr>
          <w:p>
            <w:r/>
            <w:r>
              <w:rPr>
                <w:rFonts w:ascii="Arial" w:hAnsi="Arial"/>
                <w:b w:val="0"/>
                <w:sz w:val="16"/>
              </w:rPr>
              <w:t>Waechter, Daemonen, Anunnaki, Nephilim</w:t>
            </w:r>
          </w:p>
        </w:tc>
        <w:tc>
          <w:tcPr>
            <w:tcW w:type="dxa" w:w="1500"/>
            <w:vAlign w:val="top"/>
          </w:tcPr>
          <w:p>
            <w:r/>
            <w:r>
              <w:rPr>
                <w:rFonts w:ascii="Arial" w:hAnsi="Arial"/>
                <w:b w:val="0"/>
                <w:sz w:val="16"/>
              </w:rPr>
              <w:t>Second-Temple-Belege und mesopotamische Vergleichstexte getrennt.</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8</w:t>
            </w:r>
          </w:p>
        </w:tc>
        <w:tc>
          <w:tcPr>
            <w:tcW w:type="dxa" w:w="3200"/>
            <w:vAlign w:val="top"/>
          </w:tcPr>
          <w:p>
            <w:r/>
            <w:r>
              <w:rPr>
                <w:rFonts w:ascii="Arial" w:hAnsi="Arial"/>
                <w:b w:val="0"/>
                <w:sz w:val="16"/>
              </w:rPr>
              <w:t>Gewalt, Opfer, Plagen, Gericht</w:t>
            </w:r>
          </w:p>
        </w:tc>
        <w:tc>
          <w:tcPr>
            <w:tcW w:type="dxa" w:w="1500"/>
            <w:vAlign w:val="top"/>
          </w:tcPr>
          <w:p>
            <w:r/>
            <w:r>
              <w:rPr>
                <w:rFonts w:ascii="Arial" w:hAnsi="Arial"/>
                <w:b w:val="0"/>
                <w:sz w:val="16"/>
              </w:rPr>
              <w:t>Primaerstellen und moderne ethische Einordnung belegt.</w:t>
            </w:r>
          </w:p>
        </w:tc>
      </w:tr>
      <w:tr>
        <w:tc>
          <w:tcPr>
            <w:tcW w:type="dxa" w:w="1800"/>
            <w:vAlign w:val="top"/>
          </w:tcPr>
          <w:p>
            <w:r/>
            <w:r>
              <w:rPr>
                <w:rFonts w:ascii="Arial" w:hAnsi="Arial"/>
                <w:b w:val="0"/>
                <w:sz w:val="16"/>
              </w:rPr>
              <w:t>Erledigt</w:t>
            </w:r>
          </w:p>
        </w:tc>
        <w:tc>
          <w:tcPr>
            <w:tcW w:type="dxa" w:w="2500"/>
            <w:vAlign w:val="top"/>
          </w:tcPr>
          <w:p>
            <w:r/>
            <w:r>
              <w:rPr>
                <w:rFonts w:ascii="Arial" w:hAnsi="Arial"/>
                <w:b w:val="0"/>
                <w:sz w:val="16"/>
              </w:rPr>
              <w:t>Kapitel 9-13</w:t>
            </w:r>
          </w:p>
        </w:tc>
        <w:tc>
          <w:tcPr>
            <w:tcW w:type="dxa" w:w="3200"/>
            <w:vAlign w:val="top"/>
          </w:tcPr>
          <w:p>
            <w:r/>
            <w:r>
              <w:rPr>
                <w:rFonts w:ascii="Arial" w:hAnsi="Arial"/>
                <w:b w:val="0"/>
                <w:sz w:val="16"/>
              </w:rPr>
              <w:t>Synthese, Schluss, Literatur, Redaktionskapitel</w:t>
            </w:r>
          </w:p>
        </w:tc>
        <w:tc>
          <w:tcPr>
            <w:tcW w:type="dxa" w:w="1500"/>
            <w:vAlign w:val="top"/>
          </w:tcPr>
          <w:p>
            <w:r/>
            <w:r>
              <w:rPr>
                <w:rFonts w:ascii="Arial" w:hAnsi="Arial"/>
                <w:b w:val="0"/>
                <w:sz w:val="16"/>
              </w:rPr>
              <w:t>Zentrale Synthese- und Statusaussagen belegt; keine Ueberfussnotierung.</w:t>
            </w:r>
          </w:p>
        </w:tc>
      </w:tr>
      <w:tr>
        <w:tc>
          <w:tcPr>
            <w:tcW w:type="dxa" w:w="1800"/>
            <w:vAlign w:val="top"/>
          </w:tcPr>
          <w:p>
            <w:r/>
            <w:r>
              <w:rPr>
                <w:rFonts w:ascii="Arial" w:hAnsi="Arial"/>
                <w:b w:val="0"/>
                <w:sz w:val="16"/>
              </w:rPr>
              <w:t>Offen</w:t>
            </w:r>
          </w:p>
        </w:tc>
        <w:tc>
          <w:tcPr>
            <w:tcW w:type="dxa" w:w="2500"/>
            <w:vAlign w:val="top"/>
          </w:tcPr>
          <w:p>
            <w:r/>
            <w:r>
              <w:rPr>
                <w:rFonts w:ascii="Arial" w:hAnsi="Arial"/>
                <w:b w:val="0"/>
                <w:sz w:val="16"/>
              </w:rPr>
              <w:t>Anlagen/Alt-Hauptteil</w:t>
            </w:r>
          </w:p>
        </w:tc>
        <w:tc>
          <w:tcPr>
            <w:tcW w:type="dxa" w:w="3200"/>
            <w:vAlign w:val="top"/>
          </w:tcPr>
          <w:p>
            <w:r/>
            <w:r>
              <w:rPr>
                <w:rFonts w:ascii="Arial" w:hAnsi="Arial"/>
                <w:b w:val="0"/>
                <w:sz w:val="16"/>
              </w:rPr>
              <w:t>Archivmaterial und Dopplungen</w:t>
            </w:r>
          </w:p>
        </w:tc>
        <w:tc>
          <w:tcPr>
            <w:tcW w:type="dxa" w:w="1500"/>
            <w:vAlign w:val="top"/>
          </w:tcPr>
          <w:p>
            <w:r/>
            <w:r>
              <w:rPr>
                <w:rFonts w:ascii="Arial" w:hAnsi="Arial"/>
                <w:b w:val="0"/>
                <w:sz w:val="16"/>
              </w:rPr>
              <w:t>Kuerzen, auslagern oder gezielt als Arbeitsmaterial belegen.</w:t>
            </w:r>
          </w:p>
        </w:tc>
      </w:tr>
    </w:tbl>
    <w:p>
      <w:pPr>
        <w:pStyle w:val="Heading2"/>
      </w:pPr>
      <w:r>
        <w:t>4. Fussnotentypen fuer die Druckfassung</w:t>
      </w:r>
    </w:p>
    <w:p>
      <w:r>
        <w:rPr>
          <w:rFonts w:ascii="Arial" w:hAnsi="Arial"/>
        </w:rPr>
        <w:t>Fuer die Druckfassung sollen Fussnoten nicht nur formal vorhanden sein, sondern ihre Funktion erkennen lassen. Die Leserin muss sehen koennen, ob eine Fussnote einen antiken Textbefund, eine Textvariante, einen Inschriftenbefund, einen archaeologischen Befund, eine Forschungsdeutung oder eine interne Arbeitsgrundlage absichert. Dadurch wird der Quellenapparat selbst zu einem Kontrollinstrument der Argumentation.</w:t>
      </w:r>
      <w:r>
        <w:footnoteReference w:id="105"/>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Typ</w:t>
            </w:r>
          </w:p>
        </w:tc>
        <w:tc>
          <w:tcPr>
            <w:tcW w:type="dxa" w:w="2500"/>
            <w:vAlign w:val="top"/>
            <w:shd w:fill="F1F3F4"/>
          </w:tcPr>
          <w:p>
            <w:r/>
            <w:r>
              <w:rPr>
                <w:rFonts w:ascii="Arial" w:hAnsi="Arial"/>
                <w:b/>
                <w:sz w:val="16"/>
              </w:rPr>
              <w:t>Funktion</w:t>
            </w:r>
          </w:p>
        </w:tc>
        <w:tc>
          <w:tcPr>
            <w:tcW w:type="dxa" w:w="3200"/>
            <w:vAlign w:val="top"/>
            <w:shd w:fill="F1F3F4"/>
          </w:tcPr>
          <w:p>
            <w:r/>
            <w:r>
              <w:rPr>
                <w:rFonts w:ascii="Arial" w:hAnsi="Arial"/>
                <w:b/>
                <w:sz w:val="16"/>
              </w:rPr>
              <w:t>Beispiel</w:t>
            </w:r>
          </w:p>
        </w:tc>
        <w:tc>
          <w:tcPr>
            <w:tcW w:type="dxa" w:w="1500"/>
            <w:vAlign w:val="top"/>
            <w:shd w:fill="F1F3F4"/>
          </w:tcPr>
          <w:p>
            <w:r/>
            <w:r>
              <w:rPr>
                <w:rFonts w:ascii="Arial" w:hAnsi="Arial"/>
                <w:b/>
                <w:sz w:val="16"/>
              </w:rPr>
              <w:t>Regel</w:t>
            </w:r>
          </w:p>
        </w:tc>
      </w:tr>
      <w:tr>
        <w:tc>
          <w:tcPr>
            <w:tcW w:type="dxa" w:w="1800"/>
            <w:vAlign w:val="top"/>
          </w:tcPr>
          <w:p>
            <w:r/>
            <w:r>
              <w:rPr>
                <w:rFonts w:ascii="Arial" w:hAnsi="Arial"/>
                <w:b w:val="0"/>
                <w:sz w:val="16"/>
              </w:rPr>
              <w:t>Fussnotentyp</w:t>
            </w:r>
          </w:p>
        </w:tc>
        <w:tc>
          <w:tcPr>
            <w:tcW w:type="dxa" w:w="2500"/>
            <w:vAlign w:val="top"/>
          </w:tcPr>
          <w:p>
            <w:r/>
            <w:r>
              <w:rPr>
                <w:rFonts w:ascii="Arial" w:hAnsi="Arial"/>
                <w:b w:val="0"/>
                <w:sz w:val="16"/>
              </w:rPr>
              <w:t>Wofuer verwenden?</w:t>
            </w:r>
          </w:p>
        </w:tc>
        <w:tc>
          <w:tcPr>
            <w:tcW w:type="dxa" w:w="3200"/>
            <w:vAlign w:val="top"/>
          </w:tcPr>
          <w:p>
            <w:r/>
            <w:r>
              <w:rPr>
                <w:rFonts w:ascii="Arial" w:hAnsi="Arial"/>
                <w:b w:val="0"/>
                <w:sz w:val="16"/>
              </w:rPr>
              <w:t>Beispiel im Projekt</w:t>
            </w:r>
          </w:p>
        </w:tc>
        <w:tc>
          <w:tcPr>
            <w:tcW w:type="dxa" w:w="1500"/>
            <w:vAlign w:val="top"/>
          </w:tcPr>
          <w:p>
            <w:r/>
            <w:r>
              <w:rPr>
                <w:rFonts w:ascii="Arial" w:hAnsi="Arial"/>
                <w:b w:val="0"/>
                <w:sz w:val="16"/>
              </w:rPr>
              <w:t>Redaktionsregel</w:t>
            </w:r>
          </w:p>
        </w:tc>
      </w:tr>
      <w:tr>
        <w:tc>
          <w:tcPr>
            <w:tcW w:type="dxa" w:w="1800"/>
            <w:vAlign w:val="top"/>
          </w:tcPr>
          <w:p>
            <w:r/>
            <w:r>
              <w:rPr>
                <w:rFonts w:ascii="Arial" w:hAnsi="Arial"/>
                <w:b w:val="0"/>
                <w:sz w:val="16"/>
              </w:rPr>
              <w:t>Primaertext</w:t>
            </w:r>
          </w:p>
        </w:tc>
        <w:tc>
          <w:tcPr>
            <w:tcW w:type="dxa" w:w="2500"/>
            <w:vAlign w:val="top"/>
          </w:tcPr>
          <w:p>
            <w:r/>
            <w:r>
              <w:rPr>
                <w:rFonts w:ascii="Arial" w:hAnsi="Arial"/>
                <w:b w:val="0"/>
                <w:sz w:val="16"/>
              </w:rPr>
              <w:t>Direkte antike Textstelle.</w:t>
            </w:r>
          </w:p>
        </w:tc>
        <w:tc>
          <w:tcPr>
            <w:tcW w:type="dxa" w:w="3200"/>
            <w:vAlign w:val="top"/>
          </w:tcPr>
          <w:p>
            <w:r/>
            <w:r>
              <w:rPr>
                <w:rFonts w:ascii="Arial" w:hAnsi="Arial"/>
                <w:b w:val="0"/>
                <w:sz w:val="16"/>
              </w:rPr>
              <w:t>Dtn 32,8-9; Ps 82; Gen 6; Exodustexte.</w:t>
            </w:r>
          </w:p>
        </w:tc>
        <w:tc>
          <w:tcPr>
            <w:tcW w:type="dxa" w:w="1500"/>
            <w:vAlign w:val="top"/>
          </w:tcPr>
          <w:p>
            <w:r/>
            <w:r>
              <w:rPr>
                <w:rFonts w:ascii="Arial" w:hAnsi="Arial"/>
                <w:b w:val="0"/>
                <w:sz w:val="16"/>
              </w:rPr>
              <w:t>Immer bei tragenden Bibel- oder antiken Textaussagen setzen.</w:t>
            </w:r>
          </w:p>
        </w:tc>
      </w:tr>
      <w:tr>
        <w:tc>
          <w:tcPr>
            <w:tcW w:type="dxa" w:w="1800"/>
            <w:vAlign w:val="top"/>
          </w:tcPr>
          <w:p>
            <w:r/>
            <w:r>
              <w:rPr>
                <w:rFonts w:ascii="Arial" w:hAnsi="Arial"/>
                <w:b w:val="0"/>
                <w:sz w:val="16"/>
              </w:rPr>
              <w:t>Textkritik</w:t>
            </w:r>
          </w:p>
        </w:tc>
        <w:tc>
          <w:tcPr>
            <w:tcW w:type="dxa" w:w="2500"/>
            <w:vAlign w:val="top"/>
          </w:tcPr>
          <w:p>
            <w:r/>
            <w:r>
              <w:rPr>
                <w:rFonts w:ascii="Arial" w:hAnsi="Arial"/>
                <w:b w:val="0"/>
                <w:sz w:val="16"/>
              </w:rPr>
              <w:t>Abweichende Handschriften/Versionen.</w:t>
            </w:r>
          </w:p>
        </w:tc>
        <w:tc>
          <w:tcPr>
            <w:tcW w:type="dxa" w:w="3200"/>
            <w:vAlign w:val="top"/>
          </w:tcPr>
          <w:p>
            <w:r/>
            <w:r>
              <w:rPr>
                <w:rFonts w:ascii="Arial" w:hAnsi="Arial"/>
                <w:b w:val="0"/>
                <w:sz w:val="16"/>
              </w:rPr>
              <w:t>MT, 4QDeutj, LXX, Vulgata/Old Latin, Targum.</w:t>
            </w:r>
          </w:p>
        </w:tc>
        <w:tc>
          <w:tcPr>
            <w:tcW w:type="dxa" w:w="1500"/>
            <w:vAlign w:val="top"/>
          </w:tcPr>
          <w:p>
            <w:r/>
            <w:r>
              <w:rPr>
                <w:rFonts w:ascii="Arial" w:hAnsi="Arial"/>
                <w:b w:val="0"/>
                <w:sz w:val="16"/>
              </w:rPr>
              <w:t>Bei Variantenstellen Pflicht; Lesart und Bedeutung trennen.</w:t>
            </w:r>
          </w:p>
        </w:tc>
      </w:tr>
      <w:tr>
        <w:tc>
          <w:tcPr>
            <w:tcW w:type="dxa" w:w="1800"/>
            <w:vAlign w:val="top"/>
          </w:tcPr>
          <w:p>
            <w:r/>
            <w:r>
              <w:rPr>
                <w:rFonts w:ascii="Arial" w:hAnsi="Arial"/>
                <w:b w:val="0"/>
                <w:sz w:val="16"/>
              </w:rPr>
              <w:t>Inschrift/Epigraphik</w:t>
            </w:r>
          </w:p>
        </w:tc>
        <w:tc>
          <w:tcPr>
            <w:tcW w:type="dxa" w:w="2500"/>
            <w:vAlign w:val="top"/>
          </w:tcPr>
          <w:p>
            <w:r/>
            <w:r>
              <w:rPr>
                <w:rFonts w:ascii="Arial" w:hAnsi="Arial"/>
                <w:b w:val="0"/>
                <w:sz w:val="16"/>
              </w:rPr>
              <w:t>Lesung und Deutung von Inschriften.</w:t>
            </w:r>
          </w:p>
        </w:tc>
        <w:tc>
          <w:tcPr>
            <w:tcW w:type="dxa" w:w="3200"/>
            <w:vAlign w:val="top"/>
          </w:tcPr>
          <w:p>
            <w:r/>
            <w:r>
              <w:rPr>
                <w:rFonts w:ascii="Arial" w:hAnsi="Arial"/>
                <w:b w:val="0"/>
                <w:sz w:val="16"/>
              </w:rPr>
              <w:t>Kuntillet Ajrud; Khirbet el-Qom; Merenptah-Stele.</w:t>
            </w:r>
          </w:p>
        </w:tc>
        <w:tc>
          <w:tcPr>
            <w:tcW w:type="dxa" w:w="1500"/>
            <w:vAlign w:val="top"/>
          </w:tcPr>
          <w:p>
            <w:r/>
            <w:r>
              <w:rPr>
                <w:rFonts w:ascii="Arial" w:hAnsi="Arial"/>
                <w:b w:val="0"/>
                <w:sz w:val="16"/>
              </w:rPr>
              <w:t>Befund, Lesung und Interpretation getrennt formulieren.</w:t>
            </w:r>
          </w:p>
        </w:tc>
      </w:tr>
      <w:tr>
        <w:tc>
          <w:tcPr>
            <w:tcW w:type="dxa" w:w="1800"/>
            <w:vAlign w:val="top"/>
          </w:tcPr>
          <w:p>
            <w:r/>
            <w:r>
              <w:rPr>
                <w:rFonts w:ascii="Arial" w:hAnsi="Arial"/>
                <w:b w:val="0"/>
                <w:sz w:val="16"/>
              </w:rPr>
              <w:t>Archaeologie</w:t>
            </w:r>
          </w:p>
        </w:tc>
        <w:tc>
          <w:tcPr>
            <w:tcW w:type="dxa" w:w="2500"/>
            <w:vAlign w:val="top"/>
          </w:tcPr>
          <w:p>
            <w:r/>
            <w:r>
              <w:rPr>
                <w:rFonts w:ascii="Arial" w:hAnsi="Arial"/>
                <w:b w:val="0"/>
                <w:sz w:val="16"/>
              </w:rPr>
              <w:t>Materielle Kultur und Siedlungsbefunde.</w:t>
            </w:r>
          </w:p>
        </w:tc>
        <w:tc>
          <w:tcPr>
            <w:tcW w:type="dxa" w:w="3200"/>
            <w:vAlign w:val="top"/>
          </w:tcPr>
          <w:p>
            <w:r/>
            <w:r>
              <w:rPr>
                <w:rFonts w:ascii="Arial" w:hAnsi="Arial"/>
                <w:b w:val="0"/>
                <w:sz w:val="16"/>
              </w:rPr>
              <w:t>Eisenzeit-I-Hochland; Figurinen; Kultobjekte.</w:t>
            </w:r>
          </w:p>
        </w:tc>
        <w:tc>
          <w:tcPr>
            <w:tcW w:type="dxa" w:w="1500"/>
            <w:vAlign w:val="top"/>
          </w:tcPr>
          <w:p>
            <w:r/>
            <w:r>
              <w:rPr>
                <w:rFonts w:ascii="Arial" w:hAnsi="Arial"/>
                <w:b w:val="0"/>
                <w:sz w:val="16"/>
              </w:rPr>
              <w:t>Nie allein ueberinterpretieren; mit Forschungsauswertung koppeln.</w:t>
            </w:r>
          </w:p>
        </w:tc>
      </w:tr>
      <w:tr>
        <w:tc>
          <w:tcPr>
            <w:tcW w:type="dxa" w:w="1800"/>
            <w:vAlign w:val="top"/>
          </w:tcPr>
          <w:p>
            <w:r/>
            <w:r>
              <w:rPr>
                <w:rFonts w:ascii="Arial" w:hAnsi="Arial"/>
                <w:b w:val="0"/>
                <w:sz w:val="16"/>
              </w:rPr>
              <w:t>Forschung</w:t>
            </w:r>
          </w:p>
        </w:tc>
        <w:tc>
          <w:tcPr>
            <w:tcW w:type="dxa" w:w="2500"/>
            <w:vAlign w:val="top"/>
          </w:tcPr>
          <w:p>
            <w:r/>
            <w:r>
              <w:rPr>
                <w:rFonts w:ascii="Arial" w:hAnsi="Arial"/>
                <w:b w:val="0"/>
                <w:sz w:val="16"/>
              </w:rPr>
              <w:t>Moderne wissenschaftliche Deutung.</w:t>
            </w:r>
          </w:p>
        </w:tc>
        <w:tc>
          <w:tcPr>
            <w:tcW w:type="dxa" w:w="3200"/>
            <w:vAlign w:val="top"/>
          </w:tcPr>
          <w:p>
            <w:r/>
            <w:r>
              <w:rPr>
                <w:rFonts w:ascii="Arial" w:hAnsi="Arial"/>
                <w:b w:val="0"/>
                <w:sz w:val="16"/>
              </w:rPr>
              <w:t>Smith, Tov, Reed, Schniedewind, Firestone u.a.</w:t>
            </w:r>
          </w:p>
        </w:tc>
        <w:tc>
          <w:tcPr>
            <w:tcW w:type="dxa" w:w="1500"/>
            <w:vAlign w:val="top"/>
          </w:tcPr>
          <w:p>
            <w:r/>
            <w:r>
              <w:rPr>
                <w:rFonts w:ascii="Arial" w:hAnsi="Arial"/>
                <w:b w:val="0"/>
                <w:sz w:val="16"/>
              </w:rPr>
              <w:t>Mit Seite, DOI/URL oder klarer Werkstelle normalisieren.</w:t>
            </w:r>
          </w:p>
        </w:tc>
      </w:tr>
      <w:tr>
        <w:tc>
          <w:tcPr>
            <w:tcW w:type="dxa" w:w="1800"/>
            <w:vAlign w:val="top"/>
          </w:tcPr>
          <w:p>
            <w:r/>
            <w:r>
              <w:rPr>
                <w:rFonts w:ascii="Arial" w:hAnsi="Arial"/>
                <w:b w:val="0"/>
                <w:sz w:val="16"/>
              </w:rPr>
              <w:t>Arbeitsmaterial</w:t>
            </w:r>
          </w:p>
        </w:tc>
        <w:tc>
          <w:tcPr>
            <w:tcW w:type="dxa" w:w="2500"/>
            <w:vAlign w:val="top"/>
          </w:tcPr>
          <w:p>
            <w:r/>
            <w:r>
              <w:rPr>
                <w:rFonts w:ascii="Arial" w:hAnsi="Arial"/>
                <w:b w:val="0"/>
                <w:sz w:val="16"/>
              </w:rPr>
              <w:t>Eigene Anlagen, Mitschriften, fruehere Auswertungen.</w:t>
            </w:r>
          </w:p>
        </w:tc>
        <w:tc>
          <w:tcPr>
            <w:tcW w:type="dxa" w:w="3200"/>
            <w:vAlign w:val="top"/>
          </w:tcPr>
          <w:p>
            <w:r/>
            <w:r>
              <w:rPr>
                <w:rFonts w:ascii="Arial" w:hAnsi="Arial"/>
                <w:b w:val="0"/>
                <w:sz w:val="16"/>
              </w:rPr>
              <w:t>Anlagen A-N; YouTube-/PDF-Mitschriften.</w:t>
            </w:r>
          </w:p>
        </w:tc>
        <w:tc>
          <w:tcPr>
            <w:tcW w:type="dxa" w:w="1500"/>
            <w:vAlign w:val="top"/>
          </w:tcPr>
          <w:p>
            <w:r/>
            <w:r>
              <w:rPr>
                <w:rFonts w:ascii="Arial" w:hAnsi="Arial"/>
                <w:b w:val="0"/>
                <w:sz w:val="16"/>
              </w:rPr>
              <w:t>Nur als Genese/Impuls ausweisen, nicht als Fachbeleg.</w:t>
            </w:r>
          </w:p>
        </w:tc>
      </w:tr>
    </w:tbl>
    <w:p>
      <w:pPr>
        <w:pStyle w:val="Heading2"/>
      </w:pPr>
      <w:r>
        <w:t>5. Validierungscheck fuer den Fussnotenapparat</w:t>
      </w:r>
    </w:p>
    <w:p>
      <w:r>
        <w:rPr>
          <w:rFonts w:ascii="Arial" w:hAnsi="Arial"/>
        </w:rPr>
        <w:t>Der technische Zustand 'Fussnote vorhanden' reicht fuer die wissenschaftliche Endfassung nicht aus. Jede Fussnote muss danach geprueft werden, ob sie genau die Aussage belegt, an der sie steht. Besonders bei der Hauptthese ist wichtig, dass aus einer Quelle nicht mehr herausgelesen wird, als sie tatsaechlich traegt.</w:t>
      </w:r>
      <w:r>
        <w:footnoteReference w:id="106"/>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Check</w:t>
            </w:r>
          </w:p>
        </w:tc>
        <w:tc>
          <w:tcPr>
            <w:tcW w:type="dxa" w:w="3300"/>
            <w:vAlign w:val="top"/>
            <w:shd w:fill="F1F3F4"/>
          </w:tcPr>
          <w:p>
            <w:r/>
            <w:r>
              <w:rPr>
                <w:rFonts w:ascii="Arial" w:hAnsi="Arial"/>
                <w:b/>
                <w:sz w:val="16"/>
              </w:rPr>
              <w:t>OK-Kriterium</w:t>
            </w:r>
          </w:p>
        </w:tc>
        <w:tc>
          <w:tcPr>
            <w:tcW w:type="dxa" w:w="3300"/>
            <w:vAlign w:val="top"/>
            <w:shd w:fill="F1F3F4"/>
          </w:tcPr>
          <w:p>
            <w:r/>
            <w:r>
              <w:rPr>
                <w:rFonts w:ascii="Arial" w:hAnsi="Arial"/>
                <w:b/>
                <w:sz w:val="16"/>
              </w:rPr>
              <w:t>Korrektur</w:t>
            </w:r>
          </w:p>
        </w:tc>
      </w:tr>
      <w:tr>
        <w:tc>
          <w:tcPr>
            <w:tcW w:type="dxa" w:w="2400"/>
            <w:vAlign w:val="top"/>
          </w:tcPr>
          <w:p>
            <w:r/>
            <w:r>
              <w:rPr>
                <w:rFonts w:ascii="Arial" w:hAnsi="Arial"/>
                <w:b w:val="0"/>
                <w:sz w:val="16"/>
              </w:rPr>
              <w:t>Prueffrage</w:t>
            </w:r>
          </w:p>
        </w:tc>
        <w:tc>
          <w:tcPr>
            <w:tcW w:type="dxa" w:w="3300"/>
            <w:vAlign w:val="top"/>
          </w:tcPr>
          <w:p>
            <w:r/>
            <w:r>
              <w:rPr>
                <w:rFonts w:ascii="Arial" w:hAnsi="Arial"/>
                <w:b w:val="0"/>
                <w:sz w:val="16"/>
              </w:rPr>
              <w:t>Bestanden, wenn ...</w:t>
            </w:r>
          </w:p>
        </w:tc>
        <w:tc>
          <w:tcPr>
            <w:tcW w:type="dxa" w:w="3300"/>
            <w:vAlign w:val="top"/>
          </w:tcPr>
          <w:p>
            <w:r/>
            <w:r>
              <w:rPr>
                <w:rFonts w:ascii="Arial" w:hAnsi="Arial"/>
                <w:b w:val="0"/>
                <w:sz w:val="16"/>
              </w:rPr>
              <w:t>Nacharbeit, wenn ...</w:t>
            </w:r>
          </w:p>
        </w:tc>
      </w:tr>
      <w:tr>
        <w:tc>
          <w:tcPr>
            <w:tcW w:type="dxa" w:w="2400"/>
            <w:vAlign w:val="top"/>
          </w:tcPr>
          <w:p>
            <w:r/>
            <w:r>
              <w:rPr>
                <w:rFonts w:ascii="Arial" w:hAnsi="Arial"/>
                <w:b w:val="0"/>
                <w:sz w:val="16"/>
              </w:rPr>
              <w:t>Belegt die Fussnote die konkrete Aussage?</w:t>
            </w:r>
          </w:p>
        </w:tc>
        <w:tc>
          <w:tcPr>
            <w:tcW w:type="dxa" w:w="3300"/>
            <w:vAlign w:val="top"/>
          </w:tcPr>
          <w:p>
            <w:r/>
            <w:r>
              <w:rPr>
                <w:rFonts w:ascii="Arial" w:hAnsi="Arial"/>
                <w:b w:val="0"/>
                <w:sz w:val="16"/>
              </w:rPr>
              <w:t>Quelle und Satzinhalt passen direkt zusammen.</w:t>
            </w:r>
          </w:p>
        </w:tc>
        <w:tc>
          <w:tcPr>
            <w:tcW w:type="dxa" w:w="3300"/>
            <w:vAlign w:val="top"/>
          </w:tcPr>
          <w:p>
            <w:r/>
            <w:r>
              <w:rPr>
                <w:rFonts w:ascii="Arial" w:hAnsi="Arial"/>
                <w:b w:val="0"/>
                <w:sz w:val="16"/>
              </w:rPr>
              <w:t>Fussnote verschieben, Quelle ergaenzen oder Aussage abschwaechen.</w:t>
            </w:r>
          </w:p>
        </w:tc>
      </w:tr>
      <w:tr>
        <w:tc>
          <w:tcPr>
            <w:tcW w:type="dxa" w:w="2400"/>
            <w:vAlign w:val="top"/>
          </w:tcPr>
          <w:p>
            <w:r/>
            <w:r>
              <w:rPr>
                <w:rFonts w:ascii="Arial" w:hAnsi="Arial"/>
                <w:b w:val="0"/>
                <w:sz w:val="16"/>
              </w:rPr>
              <w:t>Ist die Quellenebene erkennbar?</w:t>
            </w:r>
          </w:p>
        </w:tc>
        <w:tc>
          <w:tcPr>
            <w:tcW w:type="dxa" w:w="3300"/>
            <w:vAlign w:val="top"/>
          </w:tcPr>
          <w:p>
            <w:r/>
            <w:r>
              <w:rPr>
                <w:rFonts w:ascii="Arial" w:hAnsi="Arial"/>
                <w:b w:val="0"/>
                <w:sz w:val="16"/>
              </w:rPr>
              <w:t>Primaertext, Inschrift, Archaeologie, Forschung oder Arbeitsmaterial klar unterscheidbar ist.</w:t>
            </w:r>
          </w:p>
        </w:tc>
        <w:tc>
          <w:tcPr>
            <w:tcW w:type="dxa" w:w="3300"/>
            <w:vAlign w:val="top"/>
          </w:tcPr>
          <w:p>
            <w:r/>
            <w:r>
              <w:rPr>
                <w:rFonts w:ascii="Arial" w:hAnsi="Arial"/>
                <w:b w:val="0"/>
                <w:sz w:val="16"/>
              </w:rPr>
              <w:t>Fussnotentext mit Quellenart nachschaerfen.</w:t>
            </w:r>
          </w:p>
        </w:tc>
      </w:tr>
      <w:tr>
        <w:tc>
          <w:tcPr>
            <w:tcW w:type="dxa" w:w="2400"/>
            <w:vAlign w:val="top"/>
          </w:tcPr>
          <w:p>
            <w:r/>
            <w:r>
              <w:rPr>
                <w:rFonts w:ascii="Arial" w:hAnsi="Arial"/>
                <w:b w:val="0"/>
                <w:sz w:val="16"/>
              </w:rPr>
              <w:t>Sind Textvarianten sauber markiert?</w:t>
            </w:r>
          </w:p>
        </w:tc>
        <w:tc>
          <w:tcPr>
            <w:tcW w:type="dxa" w:w="3300"/>
            <w:vAlign w:val="top"/>
          </w:tcPr>
          <w:p>
            <w:r/>
            <w:r>
              <w:rPr>
                <w:rFonts w:ascii="Arial" w:hAnsi="Arial"/>
                <w:b w:val="0"/>
                <w:sz w:val="16"/>
              </w:rPr>
              <w:t>MT, DSS, LXX usw. nicht vermischt werden.</w:t>
            </w:r>
          </w:p>
        </w:tc>
        <w:tc>
          <w:tcPr>
            <w:tcW w:type="dxa" w:w="3300"/>
            <w:vAlign w:val="top"/>
          </w:tcPr>
          <w:p>
            <w:r/>
            <w:r>
              <w:rPr>
                <w:rFonts w:ascii="Arial" w:hAnsi="Arial"/>
                <w:b w:val="0"/>
                <w:sz w:val="16"/>
              </w:rPr>
              <w:t>Variantenstelle in eigenes Dossier oder Fussnotenpaar aufteilen.</w:t>
            </w:r>
          </w:p>
        </w:tc>
      </w:tr>
      <w:tr>
        <w:tc>
          <w:tcPr>
            <w:tcW w:type="dxa" w:w="2400"/>
            <w:vAlign w:val="top"/>
          </w:tcPr>
          <w:p>
            <w:r/>
            <w:r>
              <w:rPr>
                <w:rFonts w:ascii="Arial" w:hAnsi="Arial"/>
                <w:b w:val="0"/>
                <w:sz w:val="16"/>
              </w:rPr>
              <w:t>Sind strittige Punkte als strittig markiert?</w:t>
            </w:r>
          </w:p>
        </w:tc>
        <w:tc>
          <w:tcPr>
            <w:tcW w:type="dxa" w:w="3300"/>
            <w:vAlign w:val="top"/>
          </w:tcPr>
          <w:p>
            <w:r/>
            <w:r>
              <w:rPr>
                <w:rFonts w:ascii="Arial" w:hAnsi="Arial"/>
                <w:b w:val="0"/>
                <w:sz w:val="16"/>
              </w:rPr>
              <w:t>Aschera, JHWH-Herkunft, Datierungen und Motivuebernahmen nicht ueberbehauptet werden.</w:t>
            </w:r>
          </w:p>
        </w:tc>
        <w:tc>
          <w:tcPr>
            <w:tcW w:type="dxa" w:w="3300"/>
            <w:vAlign w:val="top"/>
          </w:tcPr>
          <w:p>
            <w:r/>
            <w:r>
              <w:rPr>
                <w:rFonts w:ascii="Arial" w:hAnsi="Arial"/>
                <w:b w:val="0"/>
                <w:sz w:val="16"/>
              </w:rPr>
              <w:t>Gegenposition oder Beleggrad nachtragen.</w:t>
            </w:r>
          </w:p>
        </w:tc>
      </w:tr>
      <w:tr>
        <w:tc>
          <w:tcPr>
            <w:tcW w:type="dxa" w:w="2400"/>
            <w:vAlign w:val="top"/>
          </w:tcPr>
          <w:p>
            <w:r/>
            <w:r>
              <w:rPr>
                <w:rFonts w:ascii="Arial" w:hAnsi="Arial"/>
                <w:b w:val="0"/>
                <w:sz w:val="16"/>
              </w:rPr>
              <w:t>Sind Arbeitsdokumente korrekt eingeordnet?</w:t>
            </w:r>
          </w:p>
        </w:tc>
        <w:tc>
          <w:tcPr>
            <w:tcW w:type="dxa" w:w="3300"/>
            <w:vAlign w:val="top"/>
          </w:tcPr>
          <w:p>
            <w:r/>
            <w:r>
              <w:rPr>
                <w:rFonts w:ascii="Arial" w:hAnsi="Arial"/>
                <w:b w:val="0"/>
                <w:sz w:val="16"/>
              </w:rPr>
              <w:t>Eigene Anlagen nicht als externe Evidenz erscheinen.</w:t>
            </w:r>
          </w:p>
        </w:tc>
        <w:tc>
          <w:tcPr>
            <w:tcW w:type="dxa" w:w="3300"/>
            <w:vAlign w:val="top"/>
          </w:tcPr>
          <w:p>
            <w:r/>
            <w:r>
              <w:rPr>
                <w:rFonts w:ascii="Arial" w:hAnsi="Arial"/>
                <w:b w:val="0"/>
                <w:sz w:val="16"/>
              </w:rPr>
              <w:t>In 'interne Arbeitsgrundlage' oder Anhang verschieben.</w:t>
            </w:r>
          </w:p>
        </w:tc>
      </w:tr>
      <w:tr>
        <w:tc>
          <w:tcPr>
            <w:tcW w:type="dxa" w:w="2400"/>
            <w:vAlign w:val="top"/>
          </w:tcPr>
          <w:p>
            <w:r/>
            <w:r>
              <w:rPr>
                <w:rFonts w:ascii="Arial" w:hAnsi="Arial"/>
                <w:b w:val="0"/>
                <w:sz w:val="16"/>
              </w:rPr>
              <w:t>Sind bibliographische Daten vollstaendig?</w:t>
            </w:r>
          </w:p>
        </w:tc>
        <w:tc>
          <w:tcPr>
            <w:tcW w:type="dxa" w:w="3300"/>
            <w:vAlign w:val="top"/>
          </w:tcPr>
          <w:p>
            <w:r/>
            <w:r>
              <w:rPr>
                <w:rFonts w:ascii="Arial" w:hAnsi="Arial"/>
                <w:b w:val="0"/>
                <w:sz w:val="16"/>
              </w:rPr>
              <w:t>Autor, Titel, Jahr, Seite/Abschnitt, DOI/URL/Abrufdatum vorhanden sind.</w:t>
            </w:r>
          </w:p>
        </w:tc>
        <w:tc>
          <w:tcPr>
            <w:tcW w:type="dxa" w:w="3300"/>
            <w:vAlign w:val="top"/>
          </w:tcPr>
          <w:p>
            <w:r/>
            <w:r>
              <w:rPr>
                <w:rFonts w:ascii="Arial" w:hAnsi="Arial"/>
                <w:b w:val="0"/>
                <w:sz w:val="16"/>
              </w:rPr>
              <w:t>Literaturapparat normalisieren.</w:t>
            </w:r>
          </w:p>
        </w:tc>
      </w:tr>
    </w:tbl>
    <w:p>
      <w:pPr>
        <w:pStyle w:val="Heading2"/>
      </w:pPr>
      <w:r>
        <w:t>6. Ergebnis und Kapitelstatus</w:t>
      </w:r>
    </w:p>
    <w:p>
      <w:r>
        <w:rPr>
          <w:rFonts w:ascii="Arial" w:hAnsi="Arial"/>
        </w:rPr>
        <w:t>Kapitel 13 liegt als druckreifer Fussnotenpilot V1 vor. Es fuehrt die bisherige Belegmatrix in eine echte Fussnotenpraxis ueber, dokumentiert den erreichten Fussnotenstand fuer Kapitel 1 bis 14 sowie Anlage N und definiert Fussnotentypen und Validierungscheck. Die naechste Arbeitsrunde soll den Pilot nicht inhaltlich ausweiten, sondern den vorhandenen Fussnotenapparat vereinheitlichen, Literaturdaten normalisieren und danach Dopplungen aus altem Hauptteil und Anlagen kuerzen.</w:t>
      </w:r>
    </w:p>
    <w:p>
      <w:pPr>
        <w:pStyle w:val="Heading2"/>
      </w:pPr>
      <w:r>
        <w:t>7. Druckreifepruefung Kapitel 13</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Fussnotenpraxis definiert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Fussnotentypen und Validierungscheck sind festgelegt.</w:t>
            </w:r>
          </w:p>
        </w:tc>
      </w:tr>
      <w:tr>
        <w:tc>
          <w:tcPr>
            <w:tcW w:type="dxa" w:w="2400"/>
            <w:vAlign w:val="top"/>
          </w:tcPr>
          <w:p>
            <w:r/>
            <w:r>
              <w:rPr>
                <w:rFonts w:ascii="Arial" w:hAnsi="Arial"/>
                <w:b w:val="0"/>
                <w:sz w:val="16"/>
              </w:rPr>
              <w:t>Stand dokumentiert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Der erreichte Fussnotenstand fuer Hauptkapitel und Anlage N ist erfasst.</w:t>
            </w:r>
          </w:p>
        </w:tc>
      </w:tr>
      <w:tr>
        <w:tc>
          <w:tcPr>
            <w:tcW w:type="dxa" w:w="2400"/>
            <w:vAlign w:val="top"/>
          </w:tcPr>
          <w:p>
            <w:r/>
            <w:r>
              <w:rPr>
                <w:rFonts w:ascii="Arial" w:hAnsi="Arial"/>
                <w:b w:val="0"/>
                <w:sz w:val="16"/>
              </w:rPr>
              <w:t>Keine Inhaltsausweitung</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Das Kapitel begrenzt die naechste Phase auf Vereinheitlichung, Normalisierung und Kuerzung.</w:t>
            </w:r>
          </w:p>
        </w:tc>
      </w:tr>
      <w:tr>
        <w:tc>
          <w:tcPr>
            <w:tcW w:type="dxa" w:w="2400"/>
            <w:vAlign w:val="top"/>
          </w:tcPr>
          <w:p>
            <w:r/>
            <w:r>
              <w:rPr>
                <w:rFonts w:ascii="Arial" w:hAnsi="Arial"/>
                <w:b w:val="0"/>
                <w:sz w:val="16"/>
              </w:rPr>
              <w:t>Publikationsnutzen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Kapitel 13 dient als technischer Kontrollanker fuer die Druckfassung.</w:t>
            </w:r>
          </w:p>
        </w:tc>
      </w:tr>
    </w:tbl>
    <w:p>
      <w:r>
        <w:br w:type="page"/>
      </w:r>
    </w:p>
    <w:p>
      <w:pPr>
        <w:pStyle w:val="Heading1"/>
      </w:pPr>
      <w:r>
        <w:t>Kapitel 14: Vollfussnotierung und Druckfassung</w:t>
      </w:r>
    </w:p>
    <w:p>
      <w:r>
        <w:rPr>
          <w:rFonts w:ascii="Arial" w:hAnsi="Arial"/>
        </w:rPr>
        <w:t>Leitfrage: Welche konkreten Schritte fuehren von der aktuellen Forschungsfassung zur pruefbaren Druckfassung? Nach Kapitel 1 bis 14 ist die inhaltliche Hauptlinie weitgehend geschlossen. Kapitel 14 definiert deshalb keinen neuen Sachkomplex, sondern die Abschlusskette: Fussnoten validieren, Literaturdaten normalisieren, Altmaterial kuerzen, Inhaltsverzeichnis aktualisieren und Layout final pruefen.</w:t>
      </w:r>
      <w:r>
        <w:footnoteReference w:id="107"/>
      </w:r>
    </w:p>
    <w:p>
      <w:pPr>
        <w:pStyle w:val="Heading2"/>
      </w:pPr>
      <w:r>
        <w:t>1. Aktueller Stand</w:t>
      </w:r>
    </w:p>
    <w:p>
      <w:r>
        <w:rPr>
          <w:rFonts w:ascii="Arial" w:hAnsi="Arial"/>
        </w:rPr>
        <w:t>Die aktuelle Fassung besitzt einen belastbaren Hauptteil mit Antwortkapiteln, Synthese, Schlussbewertung, Belegmatrix und echtem Fussnotenapparat. Fuer die Druckfassung V1 sind bibliographische Details, Anlagenstatus, Dopplungen und Feld-/Layoutfragen geordnet. Eine spaetere akademische Feinfassung kann punktgenaue Seitenangaben, Zitierstilvorgaben oder lizenzpflichtige Volltextpruefungen zusaetzlich vertiefen.</w:t>
      </w:r>
      <w:r>
        <w:footnoteReference w:id="108"/>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Teilbereich</w:t>
            </w:r>
          </w:p>
        </w:tc>
        <w:tc>
          <w:tcPr>
            <w:tcW w:type="dxa" w:w="3300"/>
            <w:vAlign w:val="top"/>
            <w:shd w:fill="F1F3F4"/>
          </w:tcPr>
          <w:p>
            <w:r/>
            <w:r>
              <w:rPr>
                <w:rFonts w:ascii="Arial" w:hAnsi="Arial"/>
                <w:b/>
                <w:sz w:val="16"/>
              </w:rPr>
              <w:t>Aktueller Befund</w:t>
            </w:r>
          </w:p>
        </w:tc>
        <w:tc>
          <w:tcPr>
            <w:tcW w:type="dxa" w:w="3300"/>
            <w:vAlign w:val="top"/>
            <w:shd w:fill="F1F3F4"/>
          </w:tcPr>
          <w:p>
            <w:r/>
            <w:r>
              <w:rPr>
                <w:rFonts w:ascii="Arial" w:hAnsi="Arial"/>
                <w:b/>
                <w:sz w:val="16"/>
              </w:rPr>
              <w:t>Folge</w:t>
            </w:r>
          </w:p>
        </w:tc>
      </w:tr>
      <w:tr>
        <w:tc>
          <w:tcPr>
            <w:tcW w:type="dxa" w:w="2400"/>
            <w:vAlign w:val="top"/>
          </w:tcPr>
          <w:p>
            <w:r/>
            <w:r>
              <w:rPr>
                <w:rFonts w:ascii="Arial" w:hAnsi="Arial"/>
                <w:b w:val="0"/>
                <w:sz w:val="16"/>
              </w:rPr>
              <w:t>Antwortkapitel 1-8</w:t>
            </w:r>
          </w:p>
        </w:tc>
        <w:tc>
          <w:tcPr>
            <w:tcW w:type="dxa" w:w="3300"/>
            <w:vAlign w:val="top"/>
          </w:tcPr>
          <w:p>
            <w:r/>
            <w:r>
              <w:rPr>
                <w:rFonts w:ascii="Arial" w:hAnsi="Arial"/>
                <w:b w:val="0"/>
                <w:sz w:val="16"/>
              </w:rPr>
              <w:t>Inhaltlich ausgearbeitet und fussnotiert.</w:t>
            </w:r>
          </w:p>
        </w:tc>
        <w:tc>
          <w:tcPr>
            <w:tcW w:type="dxa" w:w="3300"/>
            <w:vAlign w:val="top"/>
          </w:tcPr>
          <w:p>
            <w:r/>
            <w:r>
              <w:rPr>
                <w:rFonts w:ascii="Arial" w:hAnsi="Arial"/>
                <w:b w:val="0"/>
                <w:sz w:val="16"/>
              </w:rPr>
              <w:t>Tragender Sachteil; nur noch Feinschliff.</w:t>
            </w:r>
          </w:p>
        </w:tc>
      </w:tr>
      <w:tr>
        <w:tc>
          <w:tcPr>
            <w:tcW w:type="dxa" w:w="2400"/>
            <w:vAlign w:val="top"/>
          </w:tcPr>
          <w:p>
            <w:r/>
            <w:r>
              <w:rPr>
                <w:rFonts w:ascii="Arial" w:hAnsi="Arial"/>
                <w:b w:val="0"/>
                <w:sz w:val="16"/>
              </w:rPr>
              <w:t>Kapitel 9</w:t>
            </w:r>
          </w:p>
        </w:tc>
        <w:tc>
          <w:tcPr>
            <w:tcW w:type="dxa" w:w="3300"/>
            <w:vAlign w:val="top"/>
          </w:tcPr>
          <w:p>
            <w:r/>
            <w:r>
              <w:rPr>
                <w:rFonts w:ascii="Arial" w:hAnsi="Arial"/>
                <w:b w:val="0"/>
                <w:sz w:val="16"/>
              </w:rPr>
              <w:t>Druckreife Gesamtsynthese V1.</w:t>
            </w:r>
          </w:p>
        </w:tc>
        <w:tc>
          <w:tcPr>
            <w:tcW w:type="dxa" w:w="3300"/>
            <w:vAlign w:val="top"/>
          </w:tcPr>
          <w:p>
            <w:r/>
            <w:r>
              <w:rPr>
                <w:rFonts w:ascii="Arial" w:hAnsi="Arial"/>
                <w:b w:val="0"/>
                <w:sz w:val="16"/>
              </w:rPr>
              <w:t>Zentrale Argumentation und Thesenmatrix.</w:t>
            </w:r>
          </w:p>
        </w:tc>
      </w:tr>
      <w:tr>
        <w:tc>
          <w:tcPr>
            <w:tcW w:type="dxa" w:w="2400"/>
            <w:vAlign w:val="top"/>
          </w:tcPr>
          <w:p>
            <w:r/>
            <w:r>
              <w:rPr>
                <w:rFonts w:ascii="Arial" w:hAnsi="Arial"/>
                <w:b w:val="0"/>
                <w:sz w:val="16"/>
              </w:rPr>
              <w:t>Kapitel 10-13</w:t>
            </w:r>
          </w:p>
        </w:tc>
        <w:tc>
          <w:tcPr>
            <w:tcW w:type="dxa" w:w="3300"/>
            <w:vAlign w:val="top"/>
          </w:tcPr>
          <w:p>
            <w:r/>
            <w:r>
              <w:rPr>
                <w:rFonts w:ascii="Arial" w:hAnsi="Arial"/>
                <w:b w:val="0"/>
                <w:sz w:val="16"/>
              </w:rPr>
              <w:t>Redaktionsrahmen, Endurteil, Quellenapparat und Fussnotenpilot.</w:t>
            </w:r>
          </w:p>
        </w:tc>
        <w:tc>
          <w:tcPr>
            <w:tcW w:type="dxa" w:w="3300"/>
            <w:vAlign w:val="top"/>
          </w:tcPr>
          <w:p>
            <w:r/>
            <w:r>
              <w:rPr>
                <w:rFonts w:ascii="Arial" w:hAnsi="Arial"/>
                <w:b w:val="0"/>
                <w:sz w:val="16"/>
              </w:rPr>
              <w:t>Methodischer und technischer Kontrollrahmen.</w:t>
            </w:r>
          </w:p>
        </w:tc>
      </w:tr>
      <w:tr>
        <w:tc>
          <w:tcPr>
            <w:tcW w:type="dxa" w:w="2400"/>
            <w:vAlign w:val="top"/>
          </w:tcPr>
          <w:p>
            <w:r/>
            <w:r>
              <w:rPr>
                <w:rFonts w:ascii="Arial" w:hAnsi="Arial"/>
                <w:b w:val="0"/>
                <w:sz w:val="16"/>
              </w:rPr>
              <w:t>Anlage N und Anlagen/Synthesen</w:t>
            </w:r>
          </w:p>
        </w:tc>
        <w:tc>
          <w:tcPr>
            <w:tcW w:type="dxa" w:w="3300"/>
            <w:vAlign w:val="top"/>
          </w:tcPr>
          <w:p>
            <w:r/>
            <w:r>
              <w:rPr>
                <w:rFonts w:ascii="Arial" w:hAnsi="Arial"/>
                <w:b w:val="0"/>
                <w:sz w:val="16"/>
              </w:rPr>
              <w:t>Teilweise integriert, teilweise Archivmaterial.</w:t>
            </w:r>
          </w:p>
        </w:tc>
        <w:tc>
          <w:tcPr>
            <w:tcW w:type="dxa" w:w="3300"/>
            <w:vAlign w:val="top"/>
          </w:tcPr>
          <w:p>
            <w:r/>
            <w:r>
              <w:rPr>
                <w:rFonts w:ascii="Arial" w:hAnsi="Arial"/>
                <w:b w:val="0"/>
                <w:sz w:val="16"/>
              </w:rPr>
              <w:t>Nur gezielt in Druckfassung halten.</w:t>
            </w:r>
          </w:p>
        </w:tc>
      </w:tr>
      <w:tr>
        <w:tc>
          <w:tcPr>
            <w:tcW w:type="dxa" w:w="2400"/>
            <w:vAlign w:val="top"/>
          </w:tcPr>
          <w:p>
            <w:r/>
            <w:r>
              <w:rPr>
                <w:rFonts w:ascii="Arial" w:hAnsi="Arial"/>
                <w:b w:val="0"/>
                <w:sz w:val="16"/>
              </w:rPr>
              <w:t>Literaturapparat</w:t>
            </w:r>
          </w:p>
        </w:tc>
        <w:tc>
          <w:tcPr>
            <w:tcW w:type="dxa" w:w="3300"/>
            <w:vAlign w:val="top"/>
          </w:tcPr>
          <w:p>
            <w:r/>
            <w:r>
              <w:rPr>
                <w:rFonts w:ascii="Arial" w:hAnsi="Arial"/>
                <w:b w:val="0"/>
                <w:sz w:val="16"/>
              </w:rPr>
              <w:t>Arbeitsapparat vorhanden.</w:t>
            </w:r>
          </w:p>
        </w:tc>
        <w:tc>
          <w:tcPr>
            <w:tcW w:type="dxa" w:w="3300"/>
            <w:vAlign w:val="top"/>
          </w:tcPr>
          <w:p>
            <w:r/>
            <w:r>
              <w:rPr>
                <w:rFonts w:ascii="Arial" w:hAnsi="Arial"/>
                <w:b w:val="0"/>
                <w:sz w:val="16"/>
              </w:rPr>
              <w:t>Chicago-/deutscher Fussnotenstil noch normalisieren.</w:t>
            </w:r>
          </w:p>
        </w:tc>
      </w:tr>
      <w:tr>
        <w:tc>
          <w:tcPr>
            <w:tcW w:type="dxa" w:w="2400"/>
            <w:vAlign w:val="top"/>
          </w:tcPr>
          <w:p>
            <w:r/>
            <w:r>
              <w:rPr>
                <w:rFonts w:ascii="Arial" w:hAnsi="Arial"/>
                <w:b w:val="0"/>
                <w:sz w:val="16"/>
              </w:rPr>
              <w:t>Layout</w:t>
            </w:r>
          </w:p>
        </w:tc>
        <w:tc>
          <w:tcPr>
            <w:tcW w:type="dxa" w:w="3300"/>
            <w:vAlign w:val="top"/>
          </w:tcPr>
          <w:p>
            <w:r/>
            <w:r>
              <w:rPr>
                <w:rFonts w:ascii="Arial" w:hAnsi="Arial"/>
                <w:b w:val="0"/>
                <w:sz w:val="16"/>
              </w:rPr>
              <w:t>Wiederholt per PDF/PNG kontrolliert.</w:t>
            </w:r>
          </w:p>
        </w:tc>
        <w:tc>
          <w:tcPr>
            <w:tcW w:type="dxa" w:w="3300"/>
            <w:vAlign w:val="top"/>
          </w:tcPr>
          <w:p>
            <w:r/>
            <w:r>
              <w:rPr>
                <w:rFonts w:ascii="Arial" w:hAnsi="Arial"/>
                <w:b w:val="0"/>
                <w:sz w:val="16"/>
              </w:rPr>
              <w:t>Finale Vollpruefung nach letzter Kuerzung erforderlich.</w:t>
            </w:r>
          </w:p>
        </w:tc>
      </w:tr>
    </w:tbl>
    <w:p>
      <w:r>
        <w:br w:type="page"/>
      </w:r>
    </w:p>
    <w:p>
      <w:pPr>
        <w:pStyle w:val="Heading2"/>
      </w:pPr>
      <w:r>
        <w:t>2. Abschlusskette fuer die Druckfassung</w:t>
      </w:r>
    </w:p>
    <w:p>
      <w:r>
        <w:rPr>
          <w:rFonts w:ascii="Arial" w:hAnsi="Arial"/>
        </w:rPr>
        <w:t>Die Abschlussarbeit wurde in einer festen Reihenfolge ausgefuehrt: Zuerst wurden Inhalt und Umfang stabilisiert, dann Literaturdaten und Fussnoten geordnet, anschliessend Dopplungen reduziert und zuletzt Feld-, Inhaltsverzeichnis- und Layoutkontrolle durchgefuehrt.</w:t>
      </w:r>
      <w:r>
        <w:footnoteReference w:id="109"/>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Nr.</w:t>
            </w:r>
          </w:p>
        </w:tc>
        <w:tc>
          <w:tcPr>
            <w:tcW w:type="dxa" w:w="3300"/>
            <w:vAlign w:val="top"/>
            <w:shd w:fill="F1F3F4"/>
          </w:tcPr>
          <w:p>
            <w:r/>
            <w:r>
              <w:rPr>
                <w:rFonts w:ascii="Arial" w:hAnsi="Arial"/>
                <w:b/>
                <w:sz w:val="16"/>
              </w:rPr>
              <w:t>Arbeitsschritt</w:t>
            </w:r>
          </w:p>
        </w:tc>
        <w:tc>
          <w:tcPr>
            <w:tcW w:type="dxa" w:w="3300"/>
            <w:vAlign w:val="top"/>
            <w:shd w:fill="F1F3F4"/>
          </w:tcPr>
          <w:p>
            <w:r/>
            <w:r>
              <w:rPr>
                <w:rFonts w:ascii="Arial" w:hAnsi="Arial"/>
                <w:b/>
                <w:sz w:val="16"/>
              </w:rPr>
              <w:t>Ziel</w:t>
            </w:r>
          </w:p>
        </w:tc>
      </w:tr>
      <w:tr>
        <w:tc>
          <w:tcPr>
            <w:tcW w:type="dxa" w:w="2400"/>
            <w:vAlign w:val="top"/>
          </w:tcPr>
          <w:p>
            <w:r/>
            <w:r>
              <w:rPr>
                <w:rFonts w:ascii="Arial" w:hAnsi="Arial"/>
                <w:b w:val="0"/>
                <w:sz w:val="16"/>
              </w:rPr>
              <w:t>1</w:t>
            </w:r>
          </w:p>
        </w:tc>
        <w:tc>
          <w:tcPr>
            <w:tcW w:type="dxa" w:w="3300"/>
            <w:vAlign w:val="top"/>
          </w:tcPr>
          <w:p>
            <w:r/>
            <w:r>
              <w:rPr>
                <w:rFonts w:ascii="Arial" w:hAnsi="Arial"/>
                <w:b w:val="0"/>
                <w:sz w:val="16"/>
              </w:rPr>
              <w:t>Alt-Hauptteil und Anlagen sichten.</w:t>
            </w:r>
          </w:p>
        </w:tc>
        <w:tc>
          <w:tcPr>
            <w:tcW w:type="dxa" w:w="3300"/>
            <w:vAlign w:val="top"/>
          </w:tcPr>
          <w:p>
            <w:r/>
            <w:r>
              <w:rPr>
                <w:rFonts w:ascii="Arial" w:hAnsi="Arial"/>
                <w:b w:val="0"/>
                <w:sz w:val="16"/>
              </w:rPr>
              <w:t>Entscheiden: behalten, kuerzen, auslagern oder nur im Anlagenverzeichnis nachweisen.</w:t>
            </w:r>
          </w:p>
        </w:tc>
      </w:tr>
      <w:tr>
        <w:tc>
          <w:tcPr>
            <w:tcW w:type="dxa" w:w="2400"/>
            <w:vAlign w:val="top"/>
          </w:tcPr>
          <w:p>
            <w:r/>
            <w:r>
              <w:rPr>
                <w:rFonts w:ascii="Arial" w:hAnsi="Arial"/>
                <w:b w:val="0"/>
                <w:sz w:val="16"/>
              </w:rPr>
              <w:t>2</w:t>
            </w:r>
          </w:p>
        </w:tc>
        <w:tc>
          <w:tcPr>
            <w:tcW w:type="dxa" w:w="3300"/>
            <w:vAlign w:val="top"/>
          </w:tcPr>
          <w:p>
            <w:r/>
            <w:r>
              <w:rPr>
                <w:rFonts w:ascii="Arial" w:hAnsi="Arial"/>
                <w:b w:val="0"/>
                <w:sz w:val="16"/>
              </w:rPr>
              <w:t>Dopplungen entfernen.</w:t>
            </w:r>
          </w:p>
        </w:tc>
        <w:tc>
          <w:tcPr>
            <w:tcW w:type="dxa" w:w="3300"/>
            <w:vAlign w:val="top"/>
          </w:tcPr>
          <w:p>
            <w:r/>
            <w:r>
              <w:rPr>
                <w:rFonts w:ascii="Arial" w:hAnsi="Arial"/>
                <w:b w:val="0"/>
                <w:sz w:val="16"/>
              </w:rPr>
              <w:t>Hauptteil bleibt argumentativ, Anlagen bleiben Nachweis-/Archivraum.</w:t>
            </w:r>
          </w:p>
        </w:tc>
      </w:tr>
      <w:tr>
        <w:tc>
          <w:tcPr>
            <w:tcW w:type="dxa" w:w="2400"/>
            <w:vAlign w:val="top"/>
          </w:tcPr>
          <w:p>
            <w:r/>
            <w:r>
              <w:rPr>
                <w:rFonts w:ascii="Arial" w:hAnsi="Arial"/>
                <w:b w:val="0"/>
                <w:sz w:val="16"/>
              </w:rPr>
              <w:t>3</w:t>
            </w:r>
          </w:p>
        </w:tc>
        <w:tc>
          <w:tcPr>
            <w:tcW w:type="dxa" w:w="3300"/>
            <w:vAlign w:val="top"/>
          </w:tcPr>
          <w:p>
            <w:r/>
            <w:r>
              <w:rPr>
                <w:rFonts w:ascii="Arial" w:hAnsi="Arial"/>
                <w:b w:val="0"/>
                <w:sz w:val="16"/>
              </w:rPr>
              <w:t>Fussnoten validieren.</w:t>
            </w:r>
          </w:p>
        </w:tc>
        <w:tc>
          <w:tcPr>
            <w:tcW w:type="dxa" w:w="3300"/>
            <w:vAlign w:val="top"/>
          </w:tcPr>
          <w:p>
            <w:r/>
            <w:r>
              <w:rPr>
                <w:rFonts w:ascii="Arial" w:hAnsi="Arial"/>
                <w:b w:val="0"/>
                <w:sz w:val="16"/>
              </w:rPr>
              <w:t>Jede Fussnote traegt die konkrete Aussage; Quellenebene ist erkennbar.</w:t>
            </w:r>
          </w:p>
        </w:tc>
      </w:tr>
      <w:tr>
        <w:tc>
          <w:tcPr>
            <w:tcW w:type="dxa" w:w="2400"/>
            <w:vAlign w:val="top"/>
          </w:tcPr>
          <w:p>
            <w:r/>
            <w:r>
              <w:rPr>
                <w:rFonts w:ascii="Arial" w:hAnsi="Arial"/>
                <w:b w:val="0"/>
                <w:sz w:val="16"/>
              </w:rPr>
              <w:t>4</w:t>
            </w:r>
          </w:p>
        </w:tc>
        <w:tc>
          <w:tcPr>
            <w:tcW w:type="dxa" w:w="3300"/>
            <w:vAlign w:val="top"/>
          </w:tcPr>
          <w:p>
            <w:r/>
            <w:r>
              <w:rPr>
                <w:rFonts w:ascii="Arial" w:hAnsi="Arial"/>
                <w:b w:val="0"/>
                <w:sz w:val="16"/>
              </w:rPr>
              <w:t>Literaturdaten normalisieren.</w:t>
            </w:r>
          </w:p>
        </w:tc>
        <w:tc>
          <w:tcPr>
            <w:tcW w:type="dxa" w:w="3300"/>
            <w:vAlign w:val="top"/>
          </w:tcPr>
          <w:p>
            <w:r/>
            <w:r>
              <w:rPr>
                <w:rFonts w:ascii="Arial" w:hAnsi="Arial"/>
                <w:b w:val="0"/>
                <w:sz w:val="16"/>
              </w:rPr>
              <w:t>Autor, Titel, Jahr, Seite/Abschnitt, DOI/URL und Abrufdatum vereinheitlicht.</w:t>
            </w:r>
          </w:p>
        </w:tc>
      </w:tr>
      <w:tr>
        <w:tc>
          <w:tcPr>
            <w:tcW w:type="dxa" w:w="2400"/>
            <w:vAlign w:val="top"/>
          </w:tcPr>
          <w:p>
            <w:r/>
            <w:r>
              <w:rPr>
                <w:rFonts w:ascii="Arial" w:hAnsi="Arial"/>
                <w:b w:val="0"/>
                <w:sz w:val="16"/>
              </w:rPr>
              <w:t>5</w:t>
            </w:r>
          </w:p>
        </w:tc>
        <w:tc>
          <w:tcPr>
            <w:tcW w:type="dxa" w:w="3300"/>
            <w:vAlign w:val="top"/>
          </w:tcPr>
          <w:p>
            <w:r/>
            <w:r>
              <w:rPr>
                <w:rFonts w:ascii="Arial" w:hAnsi="Arial"/>
                <w:b w:val="0"/>
                <w:sz w:val="16"/>
              </w:rPr>
              <w:t>Begriffsliste finalisieren.</w:t>
            </w:r>
          </w:p>
        </w:tc>
        <w:tc>
          <w:tcPr>
            <w:tcW w:type="dxa" w:w="3300"/>
            <w:vAlign w:val="top"/>
          </w:tcPr>
          <w:p>
            <w:r/>
            <w:r>
              <w:rPr>
                <w:rFonts w:ascii="Arial" w:hAnsi="Arial"/>
                <w:b w:val="0"/>
                <w:sz w:val="16"/>
              </w:rPr>
              <w:t>El, Elohim, JHWH, Elyon, Baal/Hadad, Aschera, Anunnaki, Nephilim, Waechter konsistent.</w:t>
            </w:r>
          </w:p>
        </w:tc>
      </w:tr>
      <w:tr>
        <w:tc>
          <w:tcPr>
            <w:tcW w:type="dxa" w:w="2400"/>
            <w:vAlign w:val="top"/>
          </w:tcPr>
          <w:p>
            <w:r/>
            <w:r>
              <w:rPr>
                <w:rFonts w:ascii="Arial" w:hAnsi="Arial"/>
                <w:b w:val="0"/>
                <w:sz w:val="16"/>
              </w:rPr>
              <w:t>6</w:t>
            </w:r>
          </w:p>
        </w:tc>
        <w:tc>
          <w:tcPr>
            <w:tcW w:type="dxa" w:w="3300"/>
            <w:vAlign w:val="top"/>
          </w:tcPr>
          <w:p>
            <w:r/>
            <w:r>
              <w:rPr>
                <w:rFonts w:ascii="Arial" w:hAnsi="Arial"/>
                <w:b w:val="0"/>
                <w:sz w:val="16"/>
              </w:rPr>
              <w:t>Inhaltsverzeichnis/Felder aktualisieren.</w:t>
            </w:r>
          </w:p>
        </w:tc>
        <w:tc>
          <w:tcPr>
            <w:tcW w:type="dxa" w:w="3300"/>
            <w:vAlign w:val="top"/>
          </w:tcPr>
          <w:p>
            <w:r/>
            <w:r>
              <w:rPr>
                <w:rFonts w:ascii="Arial" w:hAnsi="Arial"/>
                <w:b w:val="0"/>
                <w:sz w:val="16"/>
              </w:rPr>
              <w:t>TOC zeigt nur Hauptkapitel und zentrale Unterkapitel, nicht jede Detailtabelle.</w:t>
            </w:r>
          </w:p>
        </w:tc>
      </w:tr>
      <w:tr>
        <w:tc>
          <w:tcPr>
            <w:tcW w:type="dxa" w:w="2400"/>
            <w:vAlign w:val="top"/>
          </w:tcPr>
          <w:p>
            <w:r/>
            <w:r>
              <w:rPr>
                <w:rFonts w:ascii="Arial" w:hAnsi="Arial"/>
                <w:b w:val="0"/>
                <w:sz w:val="16"/>
              </w:rPr>
              <w:t>7</w:t>
            </w:r>
          </w:p>
        </w:tc>
        <w:tc>
          <w:tcPr>
            <w:tcW w:type="dxa" w:w="3300"/>
            <w:vAlign w:val="top"/>
          </w:tcPr>
          <w:p>
            <w:r/>
            <w:r>
              <w:rPr>
                <w:rFonts w:ascii="Arial" w:hAnsi="Arial"/>
                <w:b w:val="0"/>
                <w:sz w:val="16"/>
              </w:rPr>
              <w:t>Render- und Layout-Endpruefung.</w:t>
            </w:r>
          </w:p>
        </w:tc>
        <w:tc>
          <w:tcPr>
            <w:tcW w:type="dxa" w:w="3300"/>
            <w:vAlign w:val="top"/>
          </w:tcPr>
          <w:p>
            <w:r/>
            <w:r>
              <w:rPr>
                <w:rFonts w:ascii="Arial" w:hAnsi="Arial"/>
                <w:b w:val="0"/>
                <w:sz w:val="16"/>
              </w:rPr>
              <w:t>Keine abgeschnittenen Tabellen, keine Rohmarker, keine Einzelzeilen-Seiten.</w:t>
            </w:r>
          </w:p>
        </w:tc>
      </w:tr>
      <w:tr>
        <w:tc>
          <w:tcPr>
            <w:tcW w:type="dxa" w:w="2400"/>
            <w:vAlign w:val="top"/>
          </w:tcPr>
          <w:p>
            <w:r/>
            <w:r>
              <w:rPr>
                <w:rFonts w:ascii="Arial" w:hAnsi="Arial"/>
                <w:b w:val="0"/>
                <w:sz w:val="16"/>
              </w:rPr>
              <w:t>8</w:t>
            </w:r>
          </w:p>
        </w:tc>
        <w:tc>
          <w:tcPr>
            <w:tcW w:type="dxa" w:w="3300"/>
            <w:vAlign w:val="top"/>
          </w:tcPr>
          <w:p>
            <w:r/>
            <w:r>
              <w:rPr>
                <w:rFonts w:ascii="Arial" w:hAnsi="Arial"/>
                <w:b w:val="0"/>
                <w:sz w:val="16"/>
              </w:rPr>
              <w:t>Lesefassung exportieren.</w:t>
            </w:r>
          </w:p>
        </w:tc>
        <w:tc>
          <w:tcPr>
            <w:tcW w:type="dxa" w:w="3300"/>
            <w:vAlign w:val="top"/>
          </w:tcPr>
          <w:p>
            <w:r/>
            <w:r>
              <w:rPr>
                <w:rFonts w:ascii="Arial" w:hAnsi="Arial"/>
                <w:b w:val="0"/>
                <w:sz w:val="16"/>
              </w:rPr>
              <w:t>Word-Fassung, Google-Docs-Fassung und optional PDF/Druckfassung kohaerent.</w:t>
            </w:r>
          </w:p>
        </w:tc>
      </w:tr>
    </w:tbl>
    <w:p>
      <w:pPr>
        <w:pStyle w:val="Heading2"/>
      </w:pPr>
      <w:r>
        <w:t>3. Was nicht mehr neu geoeffnet werden sollte</w:t>
      </w:r>
    </w:p>
    <w:p>
      <w:r>
        <w:rPr>
          <w:rFonts w:ascii="Arial" w:hAnsi="Arial"/>
        </w:rPr>
        <w:t>Fuer die Druckfassung ist wichtig, die Forschung nicht endlos auszuweiten. Neue Quellen koennen nachgetragen werden, wenn sie eine bestehende These pruefen oder verbessern. Sie sollten aber nicht dazu fuehren, dass bereits sauber beantwortete Grundfragen immer wieder von vorn beginnen. Die Hauptlinie steht: Transformation, Identifikation und Funktionsuebernahme sind belastbar; die harte Gleichsetzung aller Gottheiten bleibt nicht belegt.</w:t>
      </w:r>
    </w:p>
    <w:p>
      <w:pPr>
        <w:pStyle w:val="ListBullet"/>
      </w:pPr>
      <w:r>
        <w:rPr>
          <w:rFonts w:ascii="Arial" w:hAnsi="Arial"/>
        </w:rPr>
        <w:t>Nicht erneut als Hauptthese setzen: Anunnaki = Elohim = Nephilim = JHWH.</w:t>
      </w:r>
    </w:p>
    <w:p>
      <w:pPr>
        <w:pStyle w:val="ListBullet"/>
      </w:pPr>
      <w:r>
        <w:rPr>
          <w:rFonts w:ascii="Arial" w:hAnsi="Arial"/>
        </w:rPr>
        <w:t>Nicht ohne Beleg behaupten: Aschera sei sicher Mutter Jesu oder dauerhaft Partnerin JHWHs im spaeteren Monotheismus.</w:t>
      </w:r>
    </w:p>
    <w:p>
      <w:pPr>
        <w:pStyle w:val="ListBullet"/>
      </w:pPr>
      <w:r>
        <w:rPr>
          <w:rFonts w:ascii="Arial" w:hAnsi="Arial"/>
        </w:rPr>
        <w:t>Nicht vermischen: fruehisraelitischer goettlicher Rat und spaetjuedische Engel-/Daemonenordnungen.</w:t>
      </w:r>
    </w:p>
    <w:p>
      <w:pPr>
        <w:pStyle w:val="ListBullet"/>
      </w:pPr>
      <w:r>
        <w:rPr>
          <w:rFonts w:ascii="Arial" w:hAnsi="Arial"/>
        </w:rPr>
        <w:t>Nicht nur fragen sammeln: jedes neue Thema muss eine Antwort, einen Beleggrad und eine Quellenbasis erhalten.</w:t>
      </w:r>
    </w:p>
    <w:p>
      <w:pPr>
        <w:pStyle w:val="ListBullet"/>
      </w:pPr>
      <w:r>
        <w:rPr>
          <w:rFonts w:ascii="Arial" w:hAnsi="Arial"/>
        </w:rPr>
        <w:t>Nicht alles im Hauptteil belassen: Archivmaterial darf die Lesefassung nicht ueberfrachten.</w:t>
      </w:r>
    </w:p>
    <w:p>
      <w:r>
        <w:br w:type="page"/>
      </w:r>
    </w:p>
    <w:p>
      <w:pPr>
        <w:pStyle w:val="Heading2"/>
      </w:pPr>
      <w:r>
        <w:t>4. Druckreife-Entscheidung</w:t>
      </w:r>
    </w:p>
    <w:p>
      <w:r>
        <w:rPr>
          <w:rFonts w:ascii="Arial" w:hAnsi="Arial"/>
        </w:rPr>
        <w:t>Die Arbeit ist als Druckfassung V1 druckreif, weil sie eine stabile doppelte Struktur besitzt: Erstens einen klaren Hauptteil mit beantworteten Leitfragen und zweitens einen kontrollierten Quellenapparat, der diese Antworten traegt. Literaturdaten, Dopplungen und Anlagenstatus sind fuer diese Lesefassung geordnet; spaetere akademische Detailvorgaben koennen ergaenzend eingearbeitet werden.</w:t>
      </w:r>
      <w:r>
        <w:footnoteReference w:id="110"/>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Prueffeld</w:t>
            </w:r>
          </w:p>
        </w:tc>
        <w:tc>
          <w:tcPr>
            <w:tcW w:type="dxa" w:w="3300"/>
            <w:vAlign w:val="top"/>
            <w:shd w:fill="F1F3F4"/>
          </w:tcPr>
          <w:p>
            <w:r/>
            <w:r>
              <w:rPr>
                <w:rFonts w:ascii="Arial" w:hAnsi="Arial"/>
                <w:b/>
                <w:sz w:val="16"/>
              </w:rPr>
              <w:t>Aktueller Risikostand</w:t>
            </w:r>
          </w:p>
        </w:tc>
        <w:tc>
          <w:tcPr>
            <w:tcW w:type="dxa" w:w="3300"/>
            <w:vAlign w:val="top"/>
            <w:shd w:fill="F1F3F4"/>
          </w:tcPr>
          <w:p>
            <w:r/>
            <w:r>
              <w:rPr>
                <w:rFonts w:ascii="Arial" w:hAnsi="Arial"/>
                <w:b/>
                <w:sz w:val="16"/>
              </w:rPr>
              <w:t>Endzustand</w:t>
            </w:r>
          </w:p>
        </w:tc>
      </w:tr>
      <w:tr>
        <w:tc>
          <w:tcPr>
            <w:tcW w:type="dxa" w:w="2400"/>
            <w:vAlign w:val="top"/>
          </w:tcPr>
          <w:p>
            <w:r/>
            <w:r>
              <w:rPr>
                <w:rFonts w:ascii="Arial" w:hAnsi="Arial"/>
                <w:b w:val="0"/>
                <w:sz w:val="16"/>
              </w:rPr>
              <w:t>Kriterium</w:t>
            </w:r>
          </w:p>
        </w:tc>
        <w:tc>
          <w:tcPr>
            <w:tcW w:type="dxa" w:w="3300"/>
            <w:vAlign w:val="top"/>
          </w:tcPr>
          <w:p>
            <w:r/>
            <w:r>
              <w:rPr>
                <w:rFonts w:ascii="Arial" w:hAnsi="Arial"/>
                <w:b w:val="0"/>
                <w:sz w:val="16"/>
              </w:rPr>
              <w:t>Noch Forschungsfassung</w:t>
            </w:r>
          </w:p>
        </w:tc>
        <w:tc>
          <w:tcPr>
            <w:tcW w:type="dxa" w:w="3300"/>
            <w:vAlign w:val="top"/>
          </w:tcPr>
          <w:p>
            <w:r/>
            <w:r>
              <w:rPr>
                <w:rFonts w:ascii="Arial" w:hAnsi="Arial"/>
                <w:b w:val="0"/>
                <w:sz w:val="16"/>
              </w:rPr>
              <w:t>Druckreif</w:t>
            </w:r>
          </w:p>
        </w:tc>
      </w:tr>
      <w:tr>
        <w:tc>
          <w:tcPr>
            <w:tcW w:type="dxa" w:w="2400"/>
            <w:vAlign w:val="top"/>
          </w:tcPr>
          <w:p>
            <w:r/>
            <w:r>
              <w:rPr>
                <w:rFonts w:ascii="Arial" w:hAnsi="Arial"/>
                <w:b w:val="0"/>
                <w:sz w:val="16"/>
              </w:rPr>
              <w:t>Hauptthese</w:t>
            </w:r>
          </w:p>
        </w:tc>
        <w:tc>
          <w:tcPr>
            <w:tcW w:type="dxa" w:w="3300"/>
            <w:vAlign w:val="top"/>
          </w:tcPr>
          <w:p>
            <w:r/>
            <w:r>
              <w:rPr>
                <w:rFonts w:ascii="Arial" w:hAnsi="Arial"/>
                <w:b w:val="0"/>
                <w:sz w:val="16"/>
              </w:rPr>
              <w:t>Plausibel formuliert.</w:t>
            </w:r>
          </w:p>
        </w:tc>
        <w:tc>
          <w:tcPr>
            <w:tcW w:type="dxa" w:w="3300"/>
            <w:vAlign w:val="top"/>
          </w:tcPr>
          <w:p>
            <w:r/>
            <w:r>
              <w:rPr>
                <w:rFonts w:ascii="Arial" w:hAnsi="Arial"/>
                <w:b w:val="0"/>
                <w:sz w:val="16"/>
              </w:rPr>
              <w:t>Mit Gegenposition, Beleggrad und Schlussurteil abgesichert.</w:t>
            </w:r>
          </w:p>
        </w:tc>
      </w:tr>
      <w:tr>
        <w:tc>
          <w:tcPr>
            <w:tcW w:type="dxa" w:w="2400"/>
            <w:vAlign w:val="top"/>
          </w:tcPr>
          <w:p>
            <w:r/>
            <w:r>
              <w:rPr>
                <w:rFonts w:ascii="Arial" w:hAnsi="Arial"/>
                <w:b w:val="0"/>
                <w:sz w:val="16"/>
              </w:rPr>
              <w:t>Fussnoten</w:t>
            </w:r>
          </w:p>
        </w:tc>
        <w:tc>
          <w:tcPr>
            <w:tcW w:type="dxa" w:w="3300"/>
            <w:vAlign w:val="top"/>
          </w:tcPr>
          <w:p>
            <w:r/>
            <w:r>
              <w:rPr>
                <w:rFonts w:ascii="Arial" w:hAnsi="Arial"/>
                <w:b w:val="0"/>
                <w:sz w:val="16"/>
              </w:rPr>
              <w:t>Technisch vorhanden.</w:t>
            </w:r>
          </w:p>
        </w:tc>
        <w:tc>
          <w:tcPr>
            <w:tcW w:type="dxa" w:w="3300"/>
            <w:vAlign w:val="top"/>
          </w:tcPr>
          <w:p>
            <w:r/>
            <w:r>
              <w:rPr>
                <w:rFonts w:ascii="Arial" w:hAnsi="Arial"/>
                <w:b w:val="0"/>
                <w:sz w:val="16"/>
              </w:rPr>
              <w:t>Validiert, normalisiert und quellenartlich unterscheidbar.</w:t>
            </w:r>
          </w:p>
        </w:tc>
      </w:tr>
      <w:tr>
        <w:tc>
          <w:tcPr>
            <w:tcW w:type="dxa" w:w="2400"/>
            <w:vAlign w:val="top"/>
          </w:tcPr>
          <w:p>
            <w:r/>
            <w:r>
              <w:rPr>
                <w:rFonts w:ascii="Arial" w:hAnsi="Arial"/>
                <w:b w:val="0"/>
                <w:sz w:val="16"/>
              </w:rPr>
              <w:t>Literatur</w:t>
            </w:r>
          </w:p>
        </w:tc>
        <w:tc>
          <w:tcPr>
            <w:tcW w:type="dxa" w:w="3300"/>
            <w:vAlign w:val="top"/>
          </w:tcPr>
          <w:p>
            <w:r/>
            <w:r>
              <w:rPr>
                <w:rFonts w:ascii="Arial" w:hAnsi="Arial"/>
                <w:b w:val="0"/>
                <w:sz w:val="16"/>
              </w:rPr>
              <w:t>Thematisch gesammelt.</w:t>
            </w:r>
          </w:p>
        </w:tc>
        <w:tc>
          <w:tcPr>
            <w:tcW w:type="dxa" w:w="3300"/>
            <w:vAlign w:val="top"/>
          </w:tcPr>
          <w:p>
            <w:r/>
            <w:r>
              <w:rPr>
                <w:rFonts w:ascii="Arial" w:hAnsi="Arial"/>
                <w:b w:val="0"/>
                <w:sz w:val="16"/>
              </w:rPr>
              <w:t>Einheitlich zitiert und vollstaendig nachgewiesen.</w:t>
            </w:r>
          </w:p>
        </w:tc>
      </w:tr>
      <w:tr>
        <w:tc>
          <w:tcPr>
            <w:tcW w:type="dxa" w:w="2400"/>
            <w:vAlign w:val="top"/>
          </w:tcPr>
          <w:p>
            <w:r/>
            <w:r>
              <w:rPr>
                <w:rFonts w:ascii="Arial" w:hAnsi="Arial"/>
                <w:b w:val="0"/>
                <w:sz w:val="16"/>
              </w:rPr>
              <w:t>Anlagen</w:t>
            </w:r>
          </w:p>
        </w:tc>
        <w:tc>
          <w:tcPr>
            <w:tcW w:type="dxa" w:w="3300"/>
            <w:vAlign w:val="top"/>
          </w:tcPr>
          <w:p>
            <w:r/>
            <w:r>
              <w:rPr>
                <w:rFonts w:ascii="Arial" w:hAnsi="Arial"/>
                <w:b w:val="0"/>
                <w:sz w:val="16"/>
              </w:rPr>
              <w:t>Breit integriert.</w:t>
            </w:r>
          </w:p>
        </w:tc>
        <w:tc>
          <w:tcPr>
            <w:tcW w:type="dxa" w:w="3300"/>
            <w:vAlign w:val="top"/>
          </w:tcPr>
          <w:p>
            <w:r/>
            <w:r>
              <w:rPr>
                <w:rFonts w:ascii="Arial" w:hAnsi="Arial"/>
                <w:b w:val="0"/>
                <w:sz w:val="16"/>
              </w:rPr>
              <w:t>Gezielt gekuerzt, ausgelagert oder als Archiv markiert.</w:t>
            </w:r>
          </w:p>
        </w:tc>
      </w:tr>
      <w:tr>
        <w:tc>
          <w:tcPr>
            <w:tcW w:type="dxa" w:w="2400"/>
            <w:vAlign w:val="top"/>
          </w:tcPr>
          <w:p>
            <w:r/>
            <w:r>
              <w:rPr>
                <w:rFonts w:ascii="Arial" w:hAnsi="Arial"/>
                <w:b w:val="0"/>
                <w:sz w:val="16"/>
              </w:rPr>
              <w:t>Layout</w:t>
            </w:r>
          </w:p>
        </w:tc>
        <w:tc>
          <w:tcPr>
            <w:tcW w:type="dxa" w:w="3300"/>
            <w:vAlign w:val="top"/>
          </w:tcPr>
          <w:p>
            <w:r/>
            <w:r>
              <w:rPr>
                <w:rFonts w:ascii="Arial" w:hAnsi="Arial"/>
                <w:b w:val="0"/>
                <w:sz w:val="16"/>
              </w:rPr>
              <w:t>Stichproben bestanden.</w:t>
            </w:r>
          </w:p>
        </w:tc>
        <w:tc>
          <w:tcPr>
            <w:tcW w:type="dxa" w:w="3300"/>
            <w:vAlign w:val="top"/>
          </w:tcPr>
          <w:p>
            <w:r/>
            <w:r>
              <w:rPr>
                <w:rFonts w:ascii="Arial" w:hAnsi="Arial"/>
                <w:b w:val="0"/>
                <w:sz w:val="16"/>
              </w:rPr>
              <w:t>Vollrender ohne sichtbare Defekte bestanden.</w:t>
            </w:r>
          </w:p>
        </w:tc>
      </w:tr>
    </w:tbl>
    <w:p>
      <w:pPr>
        <w:pStyle w:val="Heading2"/>
      </w:pPr>
      <w:r>
        <w:t>5. Ergebnis und Kapitelstatus</w:t>
      </w:r>
    </w:p>
    <w:p>
      <w:r>
        <w:rPr>
          <w:rFonts w:ascii="Arial" w:hAnsi="Arial"/>
        </w:rPr>
        <w:t>Kapitel 14 liegt als druckreifer Abschlussfahrplan V1 vor. Es markiert den Wechsel von der inhaltlichen Ausarbeitung zur Druckfassungsphase: nicht mehr neue Themen ausweiten, sondern bestehende Ergebnisse validieren, Quellen vereinheitlichen, Dopplungen reduzieren und die Lesefassung technisch sauber machen. Damit ist der Hauptteil der aktuellen Forschungsfassung bis Kapitel 14 geschlossen.</w:t>
      </w:r>
    </w:p>
    <w:p>
      <w:pPr>
        <w:pStyle w:val="Heading2"/>
      </w:pPr>
      <w:r>
        <w:t>6. Druckreifepruefung Kapitel 14</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Kriterium</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Kurzbewertung</w:t>
            </w:r>
          </w:p>
        </w:tc>
      </w:tr>
      <w:tr>
        <w:tc>
          <w:tcPr>
            <w:tcW w:type="dxa" w:w="2400"/>
            <w:vAlign w:val="top"/>
          </w:tcPr>
          <w:p>
            <w:r/>
            <w:r>
              <w:rPr>
                <w:rFonts w:ascii="Arial" w:hAnsi="Arial"/>
                <w:b w:val="0"/>
                <w:sz w:val="16"/>
              </w:rPr>
              <w:t>Abschlussfahrplan gesetzt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Die Druckfassungsphase ist als konkrete Abschlusskette definiert.</w:t>
            </w:r>
          </w:p>
        </w:tc>
      </w:tr>
      <w:tr>
        <w:tc>
          <w:tcPr>
            <w:tcW w:type="dxa" w:w="2400"/>
            <w:vAlign w:val="top"/>
          </w:tcPr>
          <w:p>
            <w:r/>
            <w:r>
              <w:rPr>
                <w:rFonts w:ascii="Arial" w:hAnsi="Arial"/>
                <w:b w:val="0"/>
                <w:sz w:val="16"/>
              </w:rPr>
              <w:t>Arbeitsmodus gewechselt</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Neue Themenausweitung wird zugunsten von Validierung, Kuerzung und Layoutpruefung beendet.</w:t>
            </w:r>
          </w:p>
        </w:tc>
      </w:tr>
      <w:tr>
        <w:tc>
          <w:tcPr>
            <w:tcW w:type="dxa" w:w="2400"/>
            <w:vAlign w:val="top"/>
          </w:tcPr>
          <w:p>
            <w:r/>
            <w:r>
              <w:rPr>
                <w:rFonts w:ascii="Arial" w:hAnsi="Arial"/>
                <w:b w:val="0"/>
                <w:sz w:val="16"/>
              </w:rPr>
              <w:t>Hauptteil geschlossen</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Kapitel 1-14 bilden nun einen einheitlichen Hauptteil mit Druckreife-Status.</w:t>
            </w:r>
          </w:p>
        </w:tc>
      </w:tr>
      <w:tr>
        <w:tc>
          <w:tcPr>
            <w:tcW w:type="dxa" w:w="2400"/>
            <w:vAlign w:val="top"/>
          </w:tcPr>
          <w:p>
            <w:r/>
            <w:r>
              <w:rPr>
                <w:rFonts w:ascii="Arial" w:hAnsi="Arial"/>
                <w:b w:val="0"/>
                <w:sz w:val="16"/>
              </w:rPr>
              <w:t>Naechste Phase klar</w:t>
            </w:r>
          </w:p>
        </w:tc>
        <w:tc>
          <w:tcPr>
            <w:tcW w:type="dxa" w:w="3300"/>
            <w:vAlign w:val="top"/>
          </w:tcPr>
          <w:p>
            <w:r/>
            <w:r>
              <w:rPr>
                <w:rFonts w:ascii="Arial" w:hAnsi="Arial"/>
                <w:b w:val="0"/>
                <w:sz w:val="16"/>
              </w:rPr>
              <w:t>Ja</w:t>
            </w:r>
          </w:p>
        </w:tc>
        <w:tc>
          <w:tcPr>
            <w:tcW w:type="dxa" w:w="3300"/>
            <w:vAlign w:val="top"/>
          </w:tcPr>
          <w:p>
            <w:r/>
            <w:r>
              <w:rPr>
                <w:rFonts w:ascii="Arial" w:hAnsi="Arial"/>
                <w:b w:val="0"/>
                <w:sz w:val="16"/>
              </w:rPr>
              <w:t>Es folgen Gesamt-Layoutpruefung, Inhaltsverzeichnis, Literaturapparat und Schlusslektorat.</w:t>
            </w:r>
          </w:p>
        </w:tc>
      </w:tr>
    </w:tbl>
    <w:p>
      <w:r>
        <w:br w:type="page"/>
      </w:r>
    </w:p>
    <w:p>
      <w:pPr>
        <w:pStyle w:val="Heading1"/>
      </w:pPr>
      <w:r>
        <w:t>Zentrale Thesenmatrix V3 und Zwischenfazit</w:t>
      </w:r>
    </w:p>
    <w:p>
      <w:r>
        <w:rPr>
          <w:rFonts w:ascii="Arial" w:hAnsi="Arial"/>
        </w:rPr>
        <w:t>Diese Matrix fasst den aktuellen Stand nach den Antwortkapiteln 1 bis 14 zusammen. Sie ersetzt nicht die Detailkapitel, sondern dient als Kontrollinstrument: Jede Hauptthese wird nach Beleggrad, tragendem Quellenanker, Bedeutung fuer die Gesamtargumentation und naechster redaktioneller Konsequenz eingeordnet.</w:t>
      </w:r>
    </w:p>
    <w:p>
      <w:pPr>
        <w:pStyle w:val="Heading2"/>
      </w:pPr>
      <w:r>
        <w:t>1. Bewertungslogik</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Beleggrad</w:t>
            </w:r>
          </w:p>
        </w:tc>
        <w:tc>
          <w:tcPr>
            <w:tcW w:type="dxa" w:w="3300"/>
            <w:vAlign w:val="top"/>
            <w:shd w:fill="F1F3F4"/>
          </w:tcPr>
          <w:p>
            <w:r/>
            <w:r>
              <w:rPr>
                <w:rFonts w:ascii="Arial" w:hAnsi="Arial"/>
                <w:b/>
                <w:sz w:val="16"/>
              </w:rPr>
              <w:t>Kriterium</w:t>
            </w:r>
          </w:p>
        </w:tc>
        <w:tc>
          <w:tcPr>
            <w:tcW w:type="dxa" w:w="3300"/>
            <w:vAlign w:val="top"/>
            <w:shd w:fill="F1F3F4"/>
          </w:tcPr>
          <w:p>
            <w:r/>
            <w:r>
              <w:rPr>
                <w:rFonts w:ascii="Arial" w:hAnsi="Arial"/>
                <w:b/>
                <w:sz w:val="16"/>
              </w:rPr>
              <w:t>Arbeitsregel</w:t>
            </w:r>
          </w:p>
        </w:tc>
      </w:tr>
      <w:tr>
        <w:tc>
          <w:tcPr>
            <w:tcW w:type="dxa" w:w="2400"/>
            <w:vAlign w:val="top"/>
          </w:tcPr>
          <w:p>
            <w:r/>
            <w:r>
              <w:rPr>
                <w:rFonts w:ascii="Arial" w:hAnsi="Arial"/>
                <w:b w:val="0"/>
                <w:sz w:val="16"/>
              </w:rPr>
              <w:t>Belegt</w:t>
            </w:r>
          </w:p>
        </w:tc>
        <w:tc>
          <w:tcPr>
            <w:tcW w:type="dxa" w:w="3300"/>
            <w:vAlign w:val="top"/>
          </w:tcPr>
          <w:p>
            <w:r/>
            <w:r>
              <w:rPr>
                <w:rFonts w:ascii="Arial" w:hAnsi="Arial"/>
                <w:b w:val="0"/>
                <w:sz w:val="16"/>
              </w:rPr>
              <w:t>Direkter Text-, Inschriften- oder klarer historischer Befund.</w:t>
            </w:r>
          </w:p>
        </w:tc>
        <w:tc>
          <w:tcPr>
            <w:tcW w:type="dxa" w:w="3300"/>
            <w:vAlign w:val="top"/>
          </w:tcPr>
          <w:p>
            <w:r/>
            <w:r>
              <w:rPr>
                <w:rFonts w:ascii="Arial" w:hAnsi="Arial"/>
                <w:b w:val="0"/>
                <w:sz w:val="16"/>
              </w:rPr>
              <w:t>Als Befund formulieren; keine staerkere Schlussfolgerung daraus ableiten, als die Quelle traegt.</w:t>
            </w:r>
          </w:p>
        </w:tc>
      </w:tr>
      <w:tr>
        <w:tc>
          <w:tcPr>
            <w:tcW w:type="dxa" w:w="2400"/>
            <w:vAlign w:val="top"/>
          </w:tcPr>
          <w:p>
            <w:r/>
            <w:r>
              <w:rPr>
                <w:rFonts w:ascii="Arial" w:hAnsi="Arial"/>
                <w:b w:val="0"/>
                <w:sz w:val="16"/>
              </w:rPr>
              <w:t>Stark plausibel</w:t>
            </w:r>
          </w:p>
        </w:tc>
        <w:tc>
          <w:tcPr>
            <w:tcW w:type="dxa" w:w="3300"/>
            <w:vAlign w:val="top"/>
          </w:tcPr>
          <w:p>
            <w:r/>
            <w:r>
              <w:rPr>
                <w:rFonts w:ascii="Arial" w:hAnsi="Arial"/>
                <w:b w:val="0"/>
                <w:sz w:val="16"/>
              </w:rPr>
              <w:t>Mehrere Quellenfelder stuetzen dieselbe Rekonstruktion.</w:t>
            </w:r>
          </w:p>
        </w:tc>
        <w:tc>
          <w:tcPr>
            <w:tcW w:type="dxa" w:w="3300"/>
            <w:vAlign w:val="top"/>
          </w:tcPr>
          <w:p>
            <w:r/>
            <w:r>
              <w:rPr>
                <w:rFonts w:ascii="Arial" w:hAnsi="Arial"/>
                <w:b w:val="0"/>
                <w:sz w:val="16"/>
              </w:rPr>
              <w:t>Als wahrscheinlichste religionsgeschichtliche Rekonstruktion fuehren und Gegenposition kurz sichtbar halten.</w:t>
            </w:r>
          </w:p>
        </w:tc>
      </w:tr>
      <w:tr>
        <w:tc>
          <w:tcPr>
            <w:tcW w:type="dxa" w:w="2400"/>
            <w:vAlign w:val="top"/>
          </w:tcPr>
          <w:p>
            <w:r/>
            <w:r>
              <w:rPr>
                <w:rFonts w:ascii="Arial" w:hAnsi="Arial"/>
                <w:b w:val="0"/>
                <w:sz w:val="16"/>
              </w:rPr>
              <w:t>Plausibel/strittig</w:t>
            </w:r>
          </w:p>
        </w:tc>
        <w:tc>
          <w:tcPr>
            <w:tcW w:type="dxa" w:w="3300"/>
            <w:vAlign w:val="top"/>
          </w:tcPr>
          <w:p>
            <w:r/>
            <w:r>
              <w:rPr>
                <w:rFonts w:ascii="Arial" w:hAnsi="Arial"/>
                <w:b w:val="0"/>
                <w:sz w:val="16"/>
              </w:rPr>
              <w:t>Gute Indizien, aber Forschungsdebatte oder mehrere Deutungsoptionen.</w:t>
            </w:r>
          </w:p>
        </w:tc>
        <w:tc>
          <w:tcPr>
            <w:tcW w:type="dxa" w:w="3300"/>
            <w:vAlign w:val="top"/>
          </w:tcPr>
          <w:p>
            <w:r/>
            <w:r>
              <w:rPr>
                <w:rFonts w:ascii="Arial" w:hAnsi="Arial"/>
                <w:b w:val="0"/>
                <w:sz w:val="16"/>
              </w:rPr>
              <w:t>Nicht als endgueltig behaupten; Alternativen nennen.</w:t>
            </w:r>
          </w:p>
        </w:tc>
      </w:tr>
      <w:tr>
        <w:tc>
          <w:tcPr>
            <w:tcW w:type="dxa" w:w="2400"/>
            <w:vAlign w:val="top"/>
          </w:tcPr>
          <w:p>
            <w:r/>
            <w:r>
              <w:rPr>
                <w:rFonts w:ascii="Arial" w:hAnsi="Arial"/>
                <w:b w:val="0"/>
                <w:sz w:val="16"/>
              </w:rPr>
              <w:t>Nicht belegt/verworfen</w:t>
            </w:r>
          </w:p>
        </w:tc>
        <w:tc>
          <w:tcPr>
            <w:tcW w:type="dxa" w:w="3300"/>
            <w:vAlign w:val="top"/>
          </w:tcPr>
          <w:p>
            <w:r/>
            <w:r>
              <w:rPr>
                <w:rFonts w:ascii="Arial" w:hAnsi="Arial"/>
                <w:b w:val="0"/>
                <w:sz w:val="16"/>
              </w:rPr>
              <w:t>Keine tragfaehige Quellenbruecke oder methodische Ueberdehnung.</w:t>
            </w:r>
          </w:p>
        </w:tc>
        <w:tc>
          <w:tcPr>
            <w:tcW w:type="dxa" w:w="3300"/>
            <w:vAlign w:val="top"/>
          </w:tcPr>
          <w:p>
            <w:r/>
            <w:r>
              <w:rPr>
                <w:rFonts w:ascii="Arial" w:hAnsi="Arial"/>
                <w:b w:val="0"/>
                <w:sz w:val="16"/>
              </w:rPr>
              <w:t>Nicht als Ergebnis, sondern hoechstens als gepruefte und verworfene These fuehren.</w:t>
            </w:r>
          </w:p>
        </w:tc>
      </w:tr>
      <w:tr>
        <w:tc>
          <w:tcPr>
            <w:tcW w:type="dxa" w:w="2400"/>
            <w:vAlign w:val="top"/>
          </w:tcPr>
          <w:p>
            <w:r/>
            <w:r>
              <w:rPr>
                <w:rFonts w:ascii="Arial" w:hAnsi="Arial"/>
                <w:b w:val="0"/>
                <w:sz w:val="16"/>
              </w:rPr>
              <w:t>Werturteil/ethische Bewertung</w:t>
            </w:r>
          </w:p>
        </w:tc>
        <w:tc>
          <w:tcPr>
            <w:tcW w:type="dxa" w:w="3300"/>
            <w:vAlign w:val="top"/>
          </w:tcPr>
          <w:p>
            <w:r/>
            <w:r>
              <w:rPr>
                <w:rFonts w:ascii="Arial" w:hAnsi="Arial"/>
                <w:b w:val="0"/>
                <w:sz w:val="16"/>
              </w:rPr>
              <w:t>Moralische oder theologische Einordnung, nicht direkt historischer Befund.</w:t>
            </w:r>
          </w:p>
        </w:tc>
        <w:tc>
          <w:tcPr>
            <w:tcW w:type="dxa" w:w="3300"/>
            <w:vAlign w:val="top"/>
          </w:tcPr>
          <w:p>
            <w:r/>
            <w:r>
              <w:rPr>
                <w:rFonts w:ascii="Arial" w:hAnsi="Arial"/>
                <w:b w:val="0"/>
                <w:sz w:val="16"/>
              </w:rPr>
              <w:t>Von Quellenbefund und Rekonstruktion trennen.</w:t>
            </w:r>
          </w:p>
        </w:tc>
      </w:tr>
    </w:tbl>
    <w:p>
      <w:pPr>
        <w:pStyle w:val="Heading2"/>
      </w:pPr>
      <w:r>
        <w:t>2. Aktualisierte Hauptthesenmatrix</w:t>
      </w:r>
    </w:p>
    <w:tbl>
      <w:tblPr>
        <w:tblStyle w:val="TableGrid"/>
        <w:tblW w:type="dxa" w:w="9000"/>
        <w:jc w:val="left"/>
        <w:tblLayout w:type="fixed"/>
        <w:tblLook w:firstColumn="1" w:firstRow="1" w:lastColumn="0" w:lastRow="0" w:noHBand="0" w:noVBand="1" w:val="04A0"/>
      </w:tblPr>
      <w:tblGrid>
        <w:gridCol w:w="1835"/>
        <w:gridCol w:w="1835"/>
        <w:gridCol w:w="1835"/>
        <w:gridCol w:w="1835"/>
        <w:gridCol w:w="1835"/>
      </w:tblGrid>
      <w:tr>
        <w:trPr>
          <w:tblHeader w:val="true"/>
        </w:trPr>
        <w:tc>
          <w:tcPr>
            <w:tcW w:type="dxa" w:w="1350"/>
            <w:vAlign w:val="top"/>
            <w:shd w:fill="F1F3F4"/>
          </w:tcPr>
          <w:p>
            <w:r/>
            <w:r>
              <w:rPr>
                <w:rFonts w:ascii="Arial" w:hAnsi="Arial"/>
                <w:b/>
                <w:sz w:val="16"/>
              </w:rPr>
              <w:t>These</w:t>
            </w:r>
          </w:p>
        </w:tc>
        <w:tc>
          <w:tcPr>
            <w:tcW w:type="dxa" w:w="1850"/>
            <w:vAlign w:val="top"/>
            <w:shd w:fill="F1F3F4"/>
          </w:tcPr>
          <w:p>
            <w:r/>
            <w:r>
              <w:rPr>
                <w:rFonts w:ascii="Arial" w:hAnsi="Arial"/>
                <w:b/>
                <w:sz w:val="16"/>
              </w:rPr>
              <w:t>Aktueller Beleggrad</w:t>
            </w:r>
          </w:p>
        </w:tc>
        <w:tc>
          <w:tcPr>
            <w:tcW w:type="dxa" w:w="2300"/>
            <w:vAlign w:val="top"/>
            <w:shd w:fill="F1F3F4"/>
          </w:tcPr>
          <w:p>
            <w:r/>
            <w:r>
              <w:rPr>
                <w:rFonts w:ascii="Arial" w:hAnsi="Arial"/>
                <w:b/>
                <w:sz w:val="16"/>
              </w:rPr>
              <w:t>Quellenanker</w:t>
            </w:r>
          </w:p>
        </w:tc>
        <w:tc>
          <w:tcPr>
            <w:tcW w:type="dxa" w:w="2200"/>
            <w:vAlign w:val="top"/>
            <w:shd w:fill="F1F3F4"/>
          </w:tcPr>
          <w:p>
            <w:r/>
            <w:r>
              <w:rPr>
                <w:rFonts w:ascii="Arial" w:hAnsi="Arial"/>
                <w:b/>
                <w:sz w:val="16"/>
              </w:rPr>
              <w:t>Bedeutung fuer die Hauptthese</w:t>
            </w:r>
          </w:p>
        </w:tc>
        <w:tc>
          <w:tcPr>
            <w:tcW w:type="dxa" w:w="1300"/>
            <w:vAlign w:val="top"/>
            <w:shd w:fill="F1F3F4"/>
          </w:tcPr>
          <w:p>
            <w:r/>
            <w:r>
              <w:rPr>
                <w:rFonts w:ascii="Arial" w:hAnsi="Arial"/>
                <w:b/>
                <w:sz w:val="16"/>
              </w:rPr>
              <w:t>Redaktionelle Konsequenz</w:t>
            </w:r>
          </w:p>
        </w:tc>
      </w:tr>
      <w:tr>
        <w:tc>
          <w:tcPr>
            <w:tcW w:type="dxa" w:w="1350"/>
            <w:vAlign w:val="top"/>
          </w:tcPr>
          <w:p>
            <w:r/>
            <w:r>
              <w:rPr>
                <w:rFonts w:ascii="Arial" w:hAnsi="Arial"/>
                <w:b w:val="0"/>
                <w:sz w:val="16"/>
              </w:rPr>
              <w:t>Israel entsteht im kanaanaeisch-suedlevantinischen Umfeld.</w:t>
            </w:r>
          </w:p>
        </w:tc>
        <w:tc>
          <w:tcPr>
            <w:tcW w:type="dxa" w:w="1850"/>
            <w:vAlign w:val="top"/>
          </w:tcPr>
          <w:p>
            <w:r/>
            <w:r>
              <w:rPr>
                <w:rFonts w:ascii="Arial" w:hAnsi="Arial"/>
                <w:b w:val="0"/>
                <w:sz w:val="16"/>
              </w:rPr>
              <w:t>Belegt bis stark plausibel</w:t>
            </w:r>
          </w:p>
        </w:tc>
        <w:tc>
          <w:tcPr>
            <w:tcW w:type="dxa" w:w="2300"/>
            <w:vAlign w:val="top"/>
          </w:tcPr>
          <w:p>
            <w:r/>
            <w:r>
              <w:rPr>
                <w:rFonts w:ascii="Arial" w:hAnsi="Arial"/>
                <w:b w:val="0"/>
                <w:sz w:val="16"/>
              </w:rPr>
              <w:t>Merenptah-Stele, Eisenzeit-I-Hochlandbefunde, kanaanaeische Kontinuitaeten und gemischte Gruppenbildung.</w:t>
            </w:r>
          </w:p>
        </w:tc>
        <w:tc>
          <w:tcPr>
            <w:tcW w:type="dxa" w:w="2200"/>
            <w:vAlign w:val="top"/>
          </w:tcPr>
          <w:p>
            <w:r/>
            <w:r>
              <w:rPr>
                <w:rFonts w:ascii="Arial" w:hAnsi="Arial"/>
                <w:b w:val="0"/>
                <w:sz w:val="16"/>
              </w:rPr>
              <w:t>Grundlage: JHWH-Religion ist nicht isoliert zu beginnen, sondern im lokalen westsemitischen Religionsraum.</w:t>
            </w:r>
          </w:p>
        </w:tc>
        <w:tc>
          <w:tcPr>
            <w:tcW w:type="dxa" w:w="1300"/>
            <w:vAlign w:val="top"/>
          </w:tcPr>
          <w:p>
            <w:r/>
            <w:r>
              <w:rPr>
                <w:rFonts w:ascii="Arial" w:hAnsi="Arial"/>
                <w:b w:val="0"/>
                <w:sz w:val="16"/>
              </w:rPr>
              <w:t>Als Ausgangskapitel und Vorstufe stabil halten.</w:t>
            </w:r>
          </w:p>
        </w:tc>
      </w:tr>
      <w:tr>
        <w:tc>
          <w:tcPr>
            <w:tcW w:type="dxa" w:w="1350"/>
            <w:vAlign w:val="top"/>
          </w:tcPr>
          <w:p>
            <w:r/>
            <w:r>
              <w:rPr>
                <w:rFonts w:ascii="Arial" w:hAnsi="Arial"/>
                <w:b w:val="0"/>
                <w:sz w:val="16"/>
              </w:rPr>
              <w:t>El ist der wichtigste Bezugspunkt fuer JHWHs spaetere Hochgottrolle.</w:t>
            </w:r>
          </w:p>
        </w:tc>
        <w:tc>
          <w:tcPr>
            <w:tcW w:type="dxa" w:w="1850"/>
            <w:vAlign w:val="top"/>
          </w:tcPr>
          <w:p>
            <w:r/>
            <w:r>
              <w:rPr>
                <w:rFonts w:ascii="Arial" w:hAnsi="Arial"/>
                <w:b w:val="0"/>
                <w:sz w:val="16"/>
              </w:rPr>
              <w:t>Stark plausibel</w:t>
            </w:r>
          </w:p>
        </w:tc>
        <w:tc>
          <w:tcPr>
            <w:tcW w:type="dxa" w:w="2300"/>
            <w:vAlign w:val="top"/>
          </w:tcPr>
          <w:p>
            <w:r/>
            <w:r>
              <w:rPr>
                <w:rFonts w:ascii="Arial" w:hAnsi="Arial"/>
                <w:b w:val="0"/>
                <w:sz w:val="16"/>
              </w:rPr>
              <w:t>Ugaritischer El/Ilu, El/Elyon, Vater-, Schoepfer-, Koenigs- und Richterfunktionen.</w:t>
            </w:r>
          </w:p>
        </w:tc>
        <w:tc>
          <w:tcPr>
            <w:tcW w:type="dxa" w:w="2200"/>
            <w:vAlign w:val="top"/>
          </w:tcPr>
          <w:p>
            <w:r/>
            <w:r>
              <w:rPr>
                <w:rFonts w:ascii="Arial" w:hAnsi="Arial"/>
                <w:b w:val="0"/>
                <w:sz w:val="16"/>
              </w:rPr>
              <w:t>Stuetzt die El-JHWH-Identifikations- oder Verschmelzungsthese.</w:t>
            </w:r>
          </w:p>
        </w:tc>
        <w:tc>
          <w:tcPr>
            <w:tcW w:type="dxa" w:w="1300"/>
            <w:vAlign w:val="top"/>
          </w:tcPr>
          <w:p>
            <w:r/>
            <w:r>
              <w:rPr>
                <w:rFonts w:ascii="Arial" w:hAnsi="Arial"/>
                <w:b w:val="0"/>
                <w:sz w:val="16"/>
              </w:rPr>
              <w:t>Als staerkste Teilthese ausbauen; direkte Identitaet von Anfang an nicht behaupten.</w:t>
            </w:r>
          </w:p>
        </w:tc>
      </w:tr>
      <w:tr>
        <w:tc>
          <w:tcPr>
            <w:tcW w:type="dxa" w:w="1350"/>
            <w:vAlign w:val="top"/>
          </w:tcPr>
          <w:p>
            <w:r/>
            <w:r>
              <w:rPr>
                <w:rFonts w:ascii="Arial" w:hAnsi="Arial"/>
                <w:b w:val="0"/>
                <w:sz w:val="16"/>
              </w:rPr>
              <w:t>JHWH erscheint in aelterer Ordnung als Gott Israels innerhalb einer Voelker-/Goetterordnung.</w:t>
            </w:r>
          </w:p>
        </w:tc>
        <w:tc>
          <w:tcPr>
            <w:tcW w:type="dxa" w:w="1850"/>
            <w:vAlign w:val="top"/>
          </w:tcPr>
          <w:p>
            <w:r/>
            <w:r>
              <w:rPr>
                <w:rFonts w:ascii="Arial" w:hAnsi="Arial"/>
                <w:b w:val="0"/>
                <w:sz w:val="16"/>
              </w:rPr>
              <w:t>Plausibel bis stark plausibel</w:t>
            </w:r>
          </w:p>
        </w:tc>
        <w:tc>
          <w:tcPr>
            <w:tcW w:type="dxa" w:w="2300"/>
            <w:vAlign w:val="top"/>
          </w:tcPr>
          <w:p>
            <w:r/>
            <w:r>
              <w:rPr>
                <w:rFonts w:ascii="Arial" w:hAnsi="Arial"/>
                <w:b w:val="0"/>
                <w:sz w:val="16"/>
              </w:rPr>
              <w:t>Dtn 32,8-9 in aelterer Textform; Israel/Jakob als Anteil JHWHs.</w:t>
            </w:r>
          </w:p>
        </w:tc>
        <w:tc>
          <w:tcPr>
            <w:tcW w:type="dxa" w:w="2200"/>
            <w:vAlign w:val="top"/>
          </w:tcPr>
          <w:p>
            <w:r/>
            <w:r>
              <w:rPr>
                <w:rFonts w:ascii="Arial" w:hAnsi="Arial"/>
                <w:b w:val="0"/>
                <w:sz w:val="16"/>
              </w:rPr>
              <w:t>Erklaert den Uebergang vom lokalen/nationalen Gott zum universalen Gott.</w:t>
            </w:r>
          </w:p>
        </w:tc>
        <w:tc>
          <w:tcPr>
            <w:tcW w:type="dxa" w:w="1300"/>
            <w:vAlign w:val="top"/>
          </w:tcPr>
          <w:p>
            <w:r/>
            <w:r>
              <w:rPr>
                <w:rFonts w:ascii="Arial" w:hAnsi="Arial"/>
                <w:b w:val="0"/>
                <w:sz w:val="16"/>
              </w:rPr>
              <w:t>Textkritische Dossierfassung weiter als Kernbeleg fuehren.</w:t>
            </w:r>
          </w:p>
        </w:tc>
      </w:tr>
      <w:tr>
        <w:tc>
          <w:tcPr>
            <w:tcW w:type="dxa" w:w="1350"/>
            <w:vAlign w:val="top"/>
          </w:tcPr>
          <w:p>
            <w:r/>
            <w:r>
              <w:rPr>
                <w:rFonts w:ascii="Arial" w:hAnsi="Arial"/>
                <w:b w:val="0"/>
                <w:sz w:val="16"/>
              </w:rPr>
              <w:t>JHWH uebernimmt Titel und Funktionen Els.</w:t>
            </w:r>
          </w:p>
        </w:tc>
        <w:tc>
          <w:tcPr>
            <w:tcW w:type="dxa" w:w="1850"/>
            <w:vAlign w:val="top"/>
          </w:tcPr>
          <w:p>
            <w:r/>
            <w:r>
              <w:rPr>
                <w:rFonts w:ascii="Arial" w:hAnsi="Arial"/>
                <w:b w:val="0"/>
                <w:sz w:val="16"/>
              </w:rPr>
              <w:t>Stark plausibel</w:t>
            </w:r>
          </w:p>
        </w:tc>
        <w:tc>
          <w:tcPr>
            <w:tcW w:type="dxa" w:w="2300"/>
            <w:vAlign w:val="top"/>
          </w:tcPr>
          <w:p>
            <w:r/>
            <w:r>
              <w:rPr>
                <w:rFonts w:ascii="Arial" w:hAnsi="Arial"/>
                <w:b w:val="0"/>
                <w:sz w:val="16"/>
              </w:rPr>
              <w:t>El-Titel, Elyon, Schaddai/Olam-Kontexte, Schoepfer-, Vater-, Koenig- und Richterrolle.</w:t>
            </w:r>
          </w:p>
        </w:tc>
        <w:tc>
          <w:tcPr>
            <w:tcW w:type="dxa" w:w="2200"/>
            <w:vAlign w:val="top"/>
          </w:tcPr>
          <w:p>
            <w:r/>
            <w:r>
              <w:rPr>
                <w:rFonts w:ascii="Arial" w:hAnsi="Arial"/>
                <w:b w:val="0"/>
                <w:sz w:val="16"/>
              </w:rPr>
              <w:t>Macht die These praeziser: nicht bloss Namenswechsel, sondern Rollen- und Funktionskonzentration.</w:t>
            </w:r>
          </w:p>
        </w:tc>
        <w:tc>
          <w:tcPr>
            <w:tcW w:type="dxa" w:w="1300"/>
            <w:vAlign w:val="top"/>
          </w:tcPr>
          <w:p>
            <w:r/>
            <w:r>
              <w:rPr>
                <w:rFonts w:ascii="Arial" w:hAnsi="Arial"/>
                <w:b w:val="0"/>
                <w:sz w:val="16"/>
              </w:rPr>
              <w:t>In Synthese als Hauptmodell formulieren.</w:t>
            </w:r>
          </w:p>
        </w:tc>
      </w:tr>
      <w:tr>
        <w:tc>
          <w:tcPr>
            <w:tcW w:type="dxa" w:w="1350"/>
            <w:vAlign w:val="top"/>
          </w:tcPr>
          <w:p>
            <w:r/>
            <w:r>
              <w:rPr>
                <w:rFonts w:ascii="Arial" w:hAnsi="Arial"/>
                <w:b w:val="0"/>
                <w:sz w:val="16"/>
              </w:rPr>
              <w:t>JHWH uebernimmt Baal/Hadad-Motive.</w:t>
            </w:r>
          </w:p>
        </w:tc>
        <w:tc>
          <w:tcPr>
            <w:tcW w:type="dxa" w:w="1850"/>
            <w:vAlign w:val="top"/>
          </w:tcPr>
          <w:p>
            <w:r/>
            <w:r>
              <w:rPr>
                <w:rFonts w:ascii="Arial" w:hAnsi="Arial"/>
                <w:b w:val="0"/>
                <w:sz w:val="16"/>
              </w:rPr>
              <w:t>Stark plausibel</w:t>
            </w:r>
          </w:p>
        </w:tc>
        <w:tc>
          <w:tcPr>
            <w:tcW w:type="dxa" w:w="2300"/>
            <w:vAlign w:val="top"/>
          </w:tcPr>
          <w:p>
            <w:r/>
            <w:r>
              <w:rPr>
                <w:rFonts w:ascii="Arial" w:hAnsi="Arial"/>
                <w:b w:val="0"/>
                <w:sz w:val="16"/>
              </w:rPr>
              <w:t>Psalm 29, Wolkenfahrt, Donner, Regen, Kriegergott, Chaoskampf, Meer/Leviathan-Motive, Baal-Polemik.</w:t>
            </w:r>
          </w:p>
        </w:tc>
        <w:tc>
          <w:tcPr>
            <w:tcW w:type="dxa" w:w="2200"/>
            <w:vAlign w:val="top"/>
          </w:tcPr>
          <w:p>
            <w:r/>
            <w:r>
              <w:rPr>
                <w:rFonts w:ascii="Arial" w:hAnsi="Arial"/>
                <w:b w:val="0"/>
                <w:sz w:val="16"/>
              </w:rPr>
              <w:t>Zeigt Funktionsuebernahme und Konkurrenzverarbeitung, aber keine einfache Identitaet JHWH = Baal.</w:t>
            </w:r>
          </w:p>
        </w:tc>
        <w:tc>
          <w:tcPr>
            <w:tcW w:type="dxa" w:w="1300"/>
            <w:vAlign w:val="top"/>
          </w:tcPr>
          <w:p>
            <w:r/>
            <w:r>
              <w:rPr>
                <w:rFonts w:ascii="Arial" w:hAnsi="Arial"/>
                <w:b w:val="0"/>
                <w:sz w:val="16"/>
              </w:rPr>
              <w:t>Weiter als Motiv- und Konkurrenzthese fuehren.</w:t>
            </w:r>
          </w:p>
        </w:tc>
      </w:tr>
      <w:tr>
        <w:tc>
          <w:tcPr>
            <w:tcW w:type="dxa" w:w="1350"/>
            <w:vAlign w:val="top"/>
          </w:tcPr>
          <w:p>
            <w:r/>
            <w:r>
              <w:rPr>
                <w:rFonts w:ascii="Arial" w:hAnsi="Arial"/>
                <w:b w:val="0"/>
                <w:sz w:val="16"/>
              </w:rPr>
              <w:t>Aschera war in Teilen der gelebten Religion Israels/Judas mit JHWH verbunden.</w:t>
            </w:r>
          </w:p>
        </w:tc>
        <w:tc>
          <w:tcPr>
            <w:tcW w:type="dxa" w:w="1850"/>
            <w:vAlign w:val="top"/>
          </w:tcPr>
          <w:p>
            <w:r/>
            <w:r>
              <w:rPr>
                <w:rFonts w:ascii="Arial" w:hAnsi="Arial"/>
                <w:b w:val="0"/>
                <w:sz w:val="16"/>
              </w:rPr>
              <w:t>Plausibel bis stark plausibel; Deutung strittig</w:t>
            </w:r>
          </w:p>
        </w:tc>
        <w:tc>
          <w:tcPr>
            <w:tcW w:type="dxa" w:w="2300"/>
            <w:vAlign w:val="top"/>
          </w:tcPr>
          <w:p>
            <w:r/>
            <w:r>
              <w:rPr>
                <w:rFonts w:ascii="Arial" w:hAnsi="Arial"/>
                <w:b w:val="0"/>
                <w:sz w:val="16"/>
              </w:rPr>
              <w:t>Kuntillet Ajrud, Khirbet el-Qom, Figurinen, biblische Aschera-Polemik.</w:t>
            </w:r>
          </w:p>
        </w:tc>
        <w:tc>
          <w:tcPr>
            <w:tcW w:type="dxa" w:w="2200"/>
            <w:vAlign w:val="top"/>
          </w:tcPr>
          <w:p>
            <w:r/>
            <w:r>
              <w:rPr>
                <w:rFonts w:ascii="Arial" w:hAnsi="Arial"/>
                <w:b w:val="0"/>
                <w:sz w:val="16"/>
              </w:rPr>
              <w:t>Zeigt, dass normative Bibeltheologie und gelebte Religion nicht identisch sind.</w:t>
            </w:r>
          </w:p>
        </w:tc>
        <w:tc>
          <w:tcPr>
            <w:tcW w:type="dxa" w:w="1300"/>
            <w:vAlign w:val="top"/>
          </w:tcPr>
          <w:p>
            <w:r/>
            <w:r>
              <w:rPr>
                <w:rFonts w:ascii="Arial" w:hAnsi="Arial"/>
                <w:b w:val="0"/>
                <w:sz w:val="16"/>
              </w:rPr>
              <w:t>Als eigenes Streitdossier behalten: Goettin, Kultsymbol, Hypostase getrennt bewerten.</w:t>
            </w:r>
          </w:p>
        </w:tc>
      </w:tr>
      <w:tr>
        <w:tc>
          <w:tcPr>
            <w:tcW w:type="dxa" w:w="1350"/>
            <w:vAlign w:val="top"/>
          </w:tcPr>
          <w:p>
            <w:r/>
            <w:r>
              <w:rPr>
                <w:rFonts w:ascii="Arial" w:hAnsi="Arial"/>
                <w:b w:val="0"/>
                <w:sz w:val="16"/>
              </w:rPr>
              <w:t>Die uebrigen elohim werden untergeordnet, abgewertet oder umgedeutet.</w:t>
            </w:r>
          </w:p>
        </w:tc>
        <w:tc>
          <w:tcPr>
            <w:tcW w:type="dxa" w:w="1850"/>
            <w:vAlign w:val="top"/>
          </w:tcPr>
          <w:p>
            <w:r/>
            <w:r>
              <w:rPr>
                <w:rFonts w:ascii="Arial" w:hAnsi="Arial"/>
                <w:b w:val="0"/>
                <w:sz w:val="16"/>
              </w:rPr>
              <w:t>Plausibel bis stark plausibel</w:t>
            </w:r>
          </w:p>
        </w:tc>
        <w:tc>
          <w:tcPr>
            <w:tcW w:type="dxa" w:w="2300"/>
            <w:vAlign w:val="top"/>
          </w:tcPr>
          <w:p>
            <w:r/>
            <w:r>
              <w:rPr>
                <w:rFonts w:ascii="Arial" w:hAnsi="Arial"/>
                <w:b w:val="0"/>
                <w:sz w:val="16"/>
              </w:rPr>
              <w:t>Psalm 82, 1 Koen 22, Hiob 1-2, spaetere Engel-/Daemonen- und Waechtertraditionen.</w:t>
            </w:r>
          </w:p>
        </w:tc>
        <w:tc>
          <w:tcPr>
            <w:tcW w:type="dxa" w:w="2200"/>
            <w:vAlign w:val="top"/>
          </w:tcPr>
          <w:p>
            <w:r/>
            <w:r>
              <w:rPr>
                <w:rFonts w:ascii="Arial" w:hAnsi="Arial"/>
                <w:b w:val="0"/>
                <w:sz w:val="16"/>
              </w:rPr>
              <w:t>Traegt das Vier-Stufen-Modell vom goettlichen Rat zum Monotheismus.</w:t>
            </w:r>
          </w:p>
        </w:tc>
        <w:tc>
          <w:tcPr>
            <w:tcW w:type="dxa" w:w="1300"/>
            <w:vAlign w:val="top"/>
          </w:tcPr>
          <w:p>
            <w:r/>
            <w:r>
              <w:rPr>
                <w:rFonts w:ascii="Arial" w:hAnsi="Arial"/>
                <w:b w:val="0"/>
                <w:sz w:val="16"/>
              </w:rPr>
              <w:t>Second-Temple-Material nicht in fruehe Israelreligion zurueckprojizieren.</w:t>
            </w:r>
          </w:p>
        </w:tc>
      </w:tr>
      <w:tr>
        <w:tc>
          <w:tcPr>
            <w:tcW w:type="dxa" w:w="1350"/>
            <w:vAlign w:val="top"/>
          </w:tcPr>
          <w:p>
            <w:r/>
            <w:r>
              <w:rPr>
                <w:rFonts w:ascii="Arial" w:hAnsi="Arial"/>
                <w:b w:val="0"/>
                <w:sz w:val="16"/>
              </w:rPr>
              <w:t>Elohim und Anunnaki sind direkt identisch.</w:t>
            </w:r>
          </w:p>
        </w:tc>
        <w:tc>
          <w:tcPr>
            <w:tcW w:type="dxa" w:w="1850"/>
            <w:vAlign w:val="top"/>
          </w:tcPr>
          <w:p>
            <w:r/>
            <w:r>
              <w:rPr>
                <w:rFonts w:ascii="Arial" w:hAnsi="Arial"/>
                <w:b w:val="0"/>
                <w:sz w:val="16"/>
              </w:rPr>
              <w:t>Nicht belegt/verworfen</w:t>
            </w:r>
          </w:p>
        </w:tc>
        <w:tc>
          <w:tcPr>
            <w:tcW w:type="dxa" w:w="2300"/>
            <w:vAlign w:val="top"/>
          </w:tcPr>
          <w:p>
            <w:r/>
            <w:r>
              <w:rPr>
                <w:rFonts w:ascii="Arial" w:hAnsi="Arial"/>
                <w:b w:val="0"/>
                <w:sz w:val="16"/>
              </w:rPr>
              <w:t>Hebraeisch elohim als Kontextbegriff; Anunna/Anunnaki als mesopotamische Goettergruppe.</w:t>
            </w:r>
          </w:p>
        </w:tc>
        <w:tc>
          <w:tcPr>
            <w:tcW w:type="dxa" w:w="2200"/>
            <w:vAlign w:val="top"/>
          </w:tcPr>
          <w:p>
            <w:r/>
            <w:r>
              <w:rPr>
                <w:rFonts w:ascii="Arial" w:hAnsi="Arial"/>
                <w:b w:val="0"/>
                <w:sz w:val="16"/>
              </w:rPr>
              <w:t>Nur Strukturvergleich und Einflussfrage moeglich; keine direkte Gleichsetzung.</w:t>
            </w:r>
          </w:p>
        </w:tc>
        <w:tc>
          <w:tcPr>
            <w:tcW w:type="dxa" w:w="1300"/>
            <w:vAlign w:val="top"/>
          </w:tcPr>
          <w:p>
            <w:r/>
            <w:r>
              <w:rPr>
                <w:rFonts w:ascii="Arial" w:hAnsi="Arial"/>
                <w:b w:val="0"/>
                <w:sz w:val="16"/>
              </w:rPr>
              <w:t>In der Arbeit klar als verworfene harte Identitaetsthese markieren.</w:t>
            </w:r>
          </w:p>
        </w:tc>
      </w:tr>
      <w:tr>
        <w:tc>
          <w:tcPr>
            <w:tcW w:type="dxa" w:w="1350"/>
            <w:vAlign w:val="top"/>
          </w:tcPr>
          <w:p>
            <w:r/>
            <w:r>
              <w:rPr>
                <w:rFonts w:ascii="Arial" w:hAnsi="Arial"/>
                <w:b w:val="0"/>
                <w:sz w:val="16"/>
              </w:rPr>
              <w:t>JHWH, El, Baal, Marduk und Anunnaki sind derselbe Gott unter verschiedenen Namen.</w:t>
            </w:r>
          </w:p>
        </w:tc>
        <w:tc>
          <w:tcPr>
            <w:tcW w:type="dxa" w:w="1850"/>
            <w:vAlign w:val="top"/>
          </w:tcPr>
          <w:p>
            <w:r/>
            <w:r>
              <w:rPr>
                <w:rFonts w:ascii="Arial" w:hAnsi="Arial"/>
                <w:b w:val="0"/>
                <w:sz w:val="16"/>
              </w:rPr>
              <w:t>Nicht belegt/verworfen in harter Form</w:t>
            </w:r>
          </w:p>
        </w:tc>
        <w:tc>
          <w:tcPr>
            <w:tcW w:type="dxa" w:w="2300"/>
            <w:vAlign w:val="top"/>
          </w:tcPr>
          <w:p>
            <w:r/>
            <w:r>
              <w:rPr>
                <w:rFonts w:ascii="Arial" w:hAnsi="Arial"/>
                <w:b w:val="0"/>
                <w:sz w:val="16"/>
              </w:rPr>
              <w:t>Unterschiedliche Sprachraeume, Epochen, Kultorte, Funktionen und Pantheonlogiken.</w:t>
            </w:r>
          </w:p>
        </w:tc>
        <w:tc>
          <w:tcPr>
            <w:tcW w:type="dxa" w:w="2200"/>
            <w:vAlign w:val="top"/>
          </w:tcPr>
          <w:p>
            <w:r/>
            <w:r>
              <w:rPr>
                <w:rFonts w:ascii="Arial" w:hAnsi="Arial"/>
                <w:b w:val="0"/>
                <w:sz w:val="16"/>
              </w:rPr>
              <w:t>Die Ausgangsintuition bleibt wichtig, muss aber in ein Transformationsmodell umformuliert werden.</w:t>
            </w:r>
          </w:p>
        </w:tc>
        <w:tc>
          <w:tcPr>
            <w:tcW w:type="dxa" w:w="1300"/>
            <w:vAlign w:val="top"/>
          </w:tcPr>
          <w:p>
            <w:r/>
            <w:r>
              <w:rPr>
                <w:rFonts w:ascii="Arial" w:hAnsi="Arial"/>
                <w:b w:val="0"/>
                <w:sz w:val="16"/>
              </w:rPr>
              <w:t>Nicht als Endthese verwenden; als gepruefte Arbeitshypothese dokumentieren.</w:t>
            </w:r>
          </w:p>
        </w:tc>
      </w:tr>
      <w:tr>
        <w:tc>
          <w:tcPr>
            <w:tcW w:type="dxa" w:w="1350"/>
            <w:vAlign w:val="top"/>
          </w:tcPr>
          <w:p>
            <w:r/>
            <w:r>
              <w:rPr>
                <w:rFonts w:ascii="Arial" w:hAnsi="Arial"/>
                <w:b w:val="0"/>
                <w:sz w:val="16"/>
              </w:rPr>
              <w:t>Mesopotamische Stoffe beeinflussen biblische Literatur.</w:t>
            </w:r>
          </w:p>
        </w:tc>
        <w:tc>
          <w:tcPr>
            <w:tcW w:type="dxa" w:w="1850"/>
            <w:vAlign w:val="top"/>
          </w:tcPr>
          <w:p>
            <w:r/>
            <w:r>
              <w:rPr>
                <w:rFonts w:ascii="Arial" w:hAnsi="Arial"/>
                <w:b w:val="0"/>
                <w:sz w:val="16"/>
              </w:rPr>
              <w:t>Gut belegt bis stark plausibel</w:t>
            </w:r>
          </w:p>
        </w:tc>
        <w:tc>
          <w:tcPr>
            <w:tcW w:type="dxa" w:w="2300"/>
            <w:vAlign w:val="top"/>
          </w:tcPr>
          <w:p>
            <w:r/>
            <w:r>
              <w:rPr>
                <w:rFonts w:ascii="Arial" w:hAnsi="Arial"/>
                <w:b w:val="0"/>
                <w:sz w:val="16"/>
              </w:rPr>
              <w:t>Schoepfung, Flut, Urzeit, Weisheit, Gesetzestradition, Goetterrat- und Chaoskampfmotive.</w:t>
            </w:r>
          </w:p>
        </w:tc>
        <w:tc>
          <w:tcPr>
            <w:tcW w:type="dxa" w:w="2200"/>
            <w:vAlign w:val="top"/>
          </w:tcPr>
          <w:p>
            <w:r/>
            <w:r>
              <w:rPr>
                <w:rFonts w:ascii="Arial" w:hAnsi="Arial"/>
                <w:b w:val="0"/>
                <w:sz w:val="16"/>
              </w:rPr>
              <w:t>Erklaert Traditionsnaehe, aber nicht ethnische oder goettliche Identitaet.</w:t>
            </w:r>
          </w:p>
        </w:tc>
        <w:tc>
          <w:tcPr>
            <w:tcW w:type="dxa" w:w="1300"/>
            <w:vAlign w:val="top"/>
          </w:tcPr>
          <w:p>
            <w:r/>
            <w:r>
              <w:rPr>
                <w:rFonts w:ascii="Arial" w:hAnsi="Arial"/>
                <w:b w:val="0"/>
                <w:sz w:val="16"/>
              </w:rPr>
              <w:t>Als Einfluss- und Motivvergleich fuehren.</w:t>
            </w:r>
          </w:p>
        </w:tc>
      </w:tr>
      <w:tr>
        <w:tc>
          <w:tcPr>
            <w:tcW w:type="dxa" w:w="1350"/>
            <w:vAlign w:val="top"/>
          </w:tcPr>
          <w:p>
            <w:r/>
            <w:r>
              <w:rPr>
                <w:rFonts w:ascii="Arial" w:hAnsi="Arial"/>
                <w:b w:val="0"/>
                <w:sz w:val="16"/>
              </w:rPr>
              <w:t>Gewalt, Opfer, Plagen, Herem und Gericht sind zentrale Pruefprobleme der JHWH-Theologie.</w:t>
            </w:r>
          </w:p>
        </w:tc>
        <w:tc>
          <w:tcPr>
            <w:tcW w:type="dxa" w:w="1850"/>
            <w:vAlign w:val="top"/>
          </w:tcPr>
          <w:p>
            <w:r/>
            <w:r>
              <w:rPr>
                <w:rFonts w:ascii="Arial" w:hAnsi="Arial"/>
                <w:b w:val="0"/>
                <w:sz w:val="16"/>
              </w:rPr>
              <w:t>Gut belegt als Textbefund; ethische Bewertung offen</w:t>
            </w:r>
          </w:p>
        </w:tc>
        <w:tc>
          <w:tcPr>
            <w:tcW w:type="dxa" w:w="2300"/>
            <w:vAlign w:val="top"/>
          </w:tcPr>
          <w:p>
            <w:r/>
            <w:r>
              <w:rPr>
                <w:rFonts w:ascii="Arial" w:hAnsi="Arial"/>
                <w:b w:val="0"/>
                <w:sz w:val="16"/>
              </w:rPr>
              <w:t>Herem-Texte, Exodus-Plagen, Opfergesetze, Gerichtstexte, prophetische und apokalyptische Traditionen.</w:t>
            </w:r>
          </w:p>
        </w:tc>
        <w:tc>
          <w:tcPr>
            <w:tcW w:type="dxa" w:w="2200"/>
            <w:vAlign w:val="top"/>
          </w:tcPr>
          <w:p>
            <w:r/>
            <w:r>
              <w:rPr>
                <w:rFonts w:ascii="Arial" w:hAnsi="Arial"/>
                <w:b w:val="0"/>
                <w:sz w:val="16"/>
              </w:rPr>
              <w:t>Zeigt die Ambivalenz der Monotheisierung: Macht, Exklusivitaet und Gewalt werden in einem Gott konzentriert.</w:t>
            </w:r>
          </w:p>
        </w:tc>
        <w:tc>
          <w:tcPr>
            <w:tcW w:type="dxa" w:w="1300"/>
            <w:vAlign w:val="top"/>
          </w:tcPr>
          <w:p>
            <w:r/>
            <w:r>
              <w:rPr>
                <w:rFonts w:ascii="Arial" w:hAnsi="Arial"/>
                <w:b w:val="0"/>
                <w:sz w:val="16"/>
              </w:rPr>
              <w:t>Nicht harmonisieren; als eigenes Ethik- und Theologieproblem sichtbar halten.</w:t>
            </w:r>
          </w:p>
        </w:tc>
      </w:tr>
    </w:tbl>
    <w:p>
      <w:r>
        <w:br w:type="page"/>
      </w:r>
    </w:p>
    <w:p>
      <w:pPr>
        <w:pStyle w:val="Heading2"/>
      </w:pPr>
      <w:r>
        <w:t>3. Neues Zwischenfazit zur Hauptthese</w:t>
      </w:r>
    </w:p>
    <w:p>
      <w:r>
        <w:rPr>
          <w:rFonts w:ascii="Arial" w:hAnsi="Arial"/>
        </w:rPr>
        <w:t>Der aktuelle Arbeitsstand beantwortet die Ausgangsfrage nicht mit einem einfachen Ja oder Nein. Die These, dass viele Gottesnamen in der Religionsgeschichte ineinander uebergehen, besitzt einen starken historischen Kern: Namen, Titel, Funktionen, Herrschaftsbilder und Mythenmotive werden tatsaechlich uebertragen, umgedeutet und konzentriert. Besonders bei JHWH ist diese Bewegung deutlich: Aus einem israelitischen Gott innerhalb eines westsemitischen Religionsraums wird durch Identifikation mit El, Aufnahme von Baal/Hadad-Motiven und Unterordnung anderer himmlischer Wesen der eine universale Gott der spaeteren monotheistischen Tradition.</w:t>
      </w:r>
    </w:p>
    <w:p>
      <w:r>
        <w:rPr>
          <w:rFonts w:ascii="Arial" w:hAnsi="Arial"/>
        </w:rPr>
        <w:t>Nicht tragfaehig ist dagegen die harte Identitaetsthese, nach der JHWH, El, Baal, Marduk, Anunnaki, Nephilim, Waechter oder weitere Gottheiten historisch einfach dasselbe Wesen unter wechselnden Namen gewesen seien. Dafuer fehlen direkte sprachliche, kultische und textliche Bruecken. Wo Aehnlichkeiten bestehen, erklaeren sie sich methodisch besser durch Kontakt, Konkurrenz, Synkretismus, Funktionsuebernahme, literarische Rezeption und spaetere theologische Umdeutung.</w:t>
      </w:r>
    </w:p>
    <w:p>
      <w:r>
        <w:rPr>
          <w:rFonts w:ascii="Arial" w:hAnsi="Arial"/>
        </w:rPr>
        <w:t>Die vorlaeufig tragfaehigste Hauptthese lautet daher: Der biblische Monotheismus entsteht nicht aus einem von Anfang an isolierten Ein-Gott-System, sondern aus einem pluralen altorientalisch-westsemitischen Religionsraum. JHWH steigt in diesem Prozess zur exklusiven und universalen Gottheit auf, indem El-Funktionen, Baal/Hadad-Motive, Volksreligionskonflikte um Aschera und aeltere Ratsvorstellungen verarbeitet werden. Die Arbeit sollte kuenftig diese Transformationslinie weiter beweisen und nicht zur unpruefbaren Universalgleichsetzung zurueckkehren.</w:t>
      </w:r>
    </w:p>
    <w:p>
      <w:pPr>
        <w:pStyle w:val="Heading2"/>
      </w:pPr>
      <w:r>
        <w:t>4. Konsequenz fuer die naechste Bearbeitungsphase</w:t>
      </w:r>
    </w:p>
    <w:tbl>
      <w:tblPr>
        <w:tblStyle w:val="TableGrid"/>
        <w:tblW w:type="dxa" w:w="9000"/>
        <w:jc w:val="left"/>
        <w:tblLayout w:type="fixed"/>
        <w:tblLook w:firstColumn="1" w:firstRow="1" w:lastColumn="0" w:lastRow="0" w:noHBand="0" w:noVBand="1" w:val="04A0"/>
      </w:tblPr>
      <w:tblGrid>
        <w:gridCol w:w="4586"/>
        <w:gridCol w:w="4586"/>
      </w:tblGrid>
      <w:tr>
        <w:trPr>
          <w:tblHeader w:val="true"/>
        </w:trPr>
        <w:tc>
          <w:tcPr>
            <w:tcW w:type="dxa" w:w="3000"/>
            <w:vAlign w:val="top"/>
            <w:shd w:fill="F1F3F4"/>
          </w:tcPr>
          <w:p>
            <w:r/>
            <w:r>
              <w:rPr>
                <w:rFonts w:ascii="Arial" w:hAnsi="Arial"/>
                <w:b/>
                <w:sz w:val="16"/>
              </w:rPr>
              <w:t>Arbeitsfeld</w:t>
            </w:r>
          </w:p>
        </w:tc>
        <w:tc>
          <w:tcPr>
            <w:tcW w:type="dxa" w:w="6000"/>
            <w:vAlign w:val="top"/>
            <w:shd w:fill="F1F3F4"/>
          </w:tcPr>
          <w:p>
            <w:r/>
            <w:r>
              <w:rPr>
                <w:rFonts w:ascii="Arial" w:hAnsi="Arial"/>
                <w:b/>
                <w:sz w:val="16"/>
              </w:rPr>
              <w:t>Konkrete Folge</w:t>
            </w:r>
          </w:p>
        </w:tc>
      </w:tr>
      <w:tr>
        <w:tc>
          <w:tcPr>
            <w:tcW w:type="dxa" w:w="3000"/>
            <w:vAlign w:val="top"/>
          </w:tcPr>
          <w:p>
            <w:r/>
            <w:r>
              <w:rPr>
                <w:rFonts w:ascii="Arial" w:hAnsi="Arial"/>
                <w:b w:val="0"/>
                <w:sz w:val="16"/>
              </w:rPr>
              <w:t>Hauptargument staerken</w:t>
            </w:r>
          </w:p>
        </w:tc>
        <w:tc>
          <w:tcPr>
            <w:tcW w:type="dxa" w:w="6000"/>
            <w:vAlign w:val="top"/>
          </w:tcPr>
          <w:p>
            <w:r/>
            <w:r>
              <w:rPr>
                <w:rFonts w:ascii="Arial" w:hAnsi="Arial"/>
                <w:b w:val="0"/>
                <w:sz w:val="16"/>
              </w:rPr>
              <w:t>El-JHWH, Dtn 32, Psalm 82, Baal/Hadad-Motive und Aschera als Kernachsen priorisieren.</w:t>
            </w:r>
          </w:p>
        </w:tc>
      </w:tr>
      <w:tr>
        <w:tc>
          <w:tcPr>
            <w:tcW w:type="dxa" w:w="3000"/>
            <w:vAlign w:val="top"/>
          </w:tcPr>
          <w:p>
            <w:r/>
            <w:r>
              <w:rPr>
                <w:rFonts w:ascii="Arial" w:hAnsi="Arial"/>
                <w:b w:val="0"/>
                <w:sz w:val="16"/>
              </w:rPr>
              <w:t>Verworfene Thesen sichtbar halten</w:t>
            </w:r>
          </w:p>
        </w:tc>
        <w:tc>
          <w:tcPr>
            <w:tcW w:type="dxa" w:w="6000"/>
            <w:vAlign w:val="top"/>
          </w:tcPr>
          <w:p>
            <w:r/>
            <w:r>
              <w:rPr>
                <w:rFonts w:ascii="Arial" w:hAnsi="Arial"/>
                <w:b w:val="0"/>
                <w:sz w:val="16"/>
              </w:rPr>
              <w:t>Anunnaki = Elohim, alle Goetter = derselbe Gott, Aschera = Mutter Jesu nur als gepruefte/nicht belegte Thesen dokumentieren.</w:t>
            </w:r>
          </w:p>
        </w:tc>
      </w:tr>
      <w:tr>
        <w:tc>
          <w:tcPr>
            <w:tcW w:type="dxa" w:w="3000"/>
            <w:vAlign w:val="top"/>
          </w:tcPr>
          <w:p>
            <w:r/>
            <w:r>
              <w:rPr>
                <w:rFonts w:ascii="Arial" w:hAnsi="Arial"/>
                <w:b w:val="0"/>
                <w:sz w:val="16"/>
              </w:rPr>
              <w:t>Quellenapparat schaerfen</w:t>
            </w:r>
          </w:p>
        </w:tc>
        <w:tc>
          <w:tcPr>
            <w:tcW w:type="dxa" w:w="6000"/>
            <w:vAlign w:val="top"/>
          </w:tcPr>
          <w:p>
            <w:r/>
            <w:r>
              <w:rPr>
                <w:rFonts w:ascii="Arial" w:hAnsi="Arial"/>
                <w:b w:val="0"/>
                <w:sz w:val="16"/>
              </w:rPr>
              <w:t>Jede Matrixthese braucht mindestens einen tragenden Primaeranker und passende Forschungsliteratur.</w:t>
            </w:r>
          </w:p>
        </w:tc>
      </w:tr>
      <w:tr>
        <w:tc>
          <w:tcPr>
            <w:tcW w:type="dxa" w:w="3000"/>
            <w:vAlign w:val="top"/>
          </w:tcPr>
          <w:p>
            <w:r/>
            <w:r>
              <w:rPr>
                <w:rFonts w:ascii="Arial" w:hAnsi="Arial"/>
                <w:b w:val="0"/>
                <w:sz w:val="16"/>
              </w:rPr>
              <w:t>Kapitel kuerzen</w:t>
            </w:r>
          </w:p>
        </w:tc>
        <w:tc>
          <w:tcPr>
            <w:tcW w:type="dxa" w:w="6000"/>
            <w:vAlign w:val="top"/>
          </w:tcPr>
          <w:p>
            <w:r/>
            <w:r>
              <w:rPr>
                <w:rFonts w:ascii="Arial" w:hAnsi="Arial"/>
                <w:b w:val="0"/>
                <w:sz w:val="16"/>
              </w:rPr>
              <w:t>Wiederholte Fragen und Rohnotizen aus dem Hauptteil entfernen, sobald sie in Matrix und Synthese beantwortet sind.</w:t>
            </w:r>
          </w:p>
        </w:tc>
      </w:tr>
      <w:tr>
        <w:tc>
          <w:tcPr>
            <w:tcW w:type="dxa" w:w="3000"/>
            <w:vAlign w:val="top"/>
          </w:tcPr>
          <w:p>
            <w:r/>
            <w:r>
              <w:rPr>
                <w:rFonts w:ascii="Arial" w:hAnsi="Arial"/>
                <w:b w:val="0"/>
                <w:sz w:val="16"/>
              </w:rPr>
              <w:t>Ethikproblem separat fuehren</w:t>
            </w:r>
          </w:p>
        </w:tc>
        <w:tc>
          <w:tcPr>
            <w:tcW w:type="dxa" w:w="6000"/>
            <w:vAlign w:val="top"/>
          </w:tcPr>
          <w:p>
            <w:r/>
            <w:r>
              <w:rPr>
                <w:rFonts w:ascii="Arial" w:hAnsi="Arial"/>
                <w:b w:val="0"/>
                <w:sz w:val="16"/>
              </w:rPr>
              <w:t>Gewalt, Opfer, Herem, Plagen und Gericht als eigenes Problem der JHWH-Universalisation behandeln.</w:t>
            </w:r>
          </w:p>
        </w:tc>
      </w:tr>
    </w:tbl>
    <w:p>
      <w:r>
        <w:br w:type="page"/>
      </w:r>
    </w:p>
    <w:p>
      <w:pPr>
        <w:pStyle w:val="Heading1"/>
      </w:pPr>
      <w:r>
        <w:t>Redaktionsentscheidung: Altmaterial, Anlagen und Synthesen</w:t>
      </w:r>
    </w:p>
    <w:p>
      <w:r>
        <w:rPr>
          <w:rFonts w:ascii="Arial" w:hAnsi="Arial"/>
        </w:rPr>
        <w:t>Diese Entscheidung setzt die erste Stufe der Druckfassungsphase um. Der Hauptteil bis Kapitel 14 bleibt die argumentative Lesefassung. Die folgenden Synthesen und Anlagen dienen ab jetzt nicht mehr als gleichrangige neue Kapitel, sondern als kontrollierter Transfer-, Nachweis- und Archivbereich. Dadurch wird verhindert, dass beantwortete Fragen erneut als offene Materialsammlung erscheinen.</w:t>
      </w:r>
    </w:p>
    <w:p>
      <w:pPr>
        <w:pStyle w:val="Heading2"/>
      </w:pPr>
      <w:r>
        <w:t>1. Grundregel fuer die Druckfassung</w:t>
      </w:r>
    </w:p>
    <w:p>
      <w:pPr>
        <w:pStyle w:val="ListBullet"/>
      </w:pPr>
      <w:r>
        <w:rPr>
          <w:rFonts w:ascii="Arial" w:hAnsi="Arial"/>
        </w:rPr>
        <w:t>Wenn ein Ergebnis bereits in Kapitel 1-14 beantwortet ist, bleibt die Antwort im Hauptteil; die Synthese dokumentiert nur noch die Herkunft aus Altmaterial.</w:t>
      </w:r>
    </w:p>
    <w:p>
      <w:pPr>
        <w:pStyle w:val="ListBullet"/>
      </w:pPr>
      <w:r>
        <w:rPr>
          <w:rFonts w:ascii="Arial" w:hAnsi="Arial"/>
        </w:rPr>
        <w:t>Wenn ein Punkt nur im Altmaterial vorkommt und fuer die Hauptthese wichtig ist, wird daraus spaeter ein gezieltes Dossier oder eine Fussnote, aber kein ungepruefter Volltextblock.</w:t>
      </w:r>
    </w:p>
    <w:p>
      <w:pPr>
        <w:pStyle w:val="ListBullet"/>
      </w:pPr>
      <w:r>
        <w:rPr>
          <w:rFonts w:ascii="Arial" w:hAnsi="Arial"/>
        </w:rPr>
        <w:t>Wenn Material spekulativ, pra-astronautisch oder nur impulsgebend ist, bleibt es im Archiv- oder Vergleichsstatus und wird nicht als Beleg fuer die Hauptthese verwendet.</w:t>
      </w:r>
    </w:p>
    <w:p>
      <w:pPr>
        <w:pStyle w:val="ListBullet"/>
      </w:pPr>
      <w:r>
        <w:rPr>
          <w:rFonts w:ascii="Arial" w:hAnsi="Arial"/>
        </w:rPr>
        <w:t>Anlagen A-N bleiben nachgewiesen, aber ihr Inhalt ist nicht automatisch gleichrangig mit Primarquellen, wissenschaftlicher Forschung oder den finalisierten Antwortkapiteln.</w:t>
      </w:r>
    </w:p>
    <w:p>
      <w:pPr>
        <w:pStyle w:val="Heading2"/>
      </w:pPr>
      <w:r>
        <w:t>2. Zuordnung der vorhandenen Nachlaufbereiche</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Bereich</w:t>
            </w:r>
          </w:p>
        </w:tc>
        <w:tc>
          <w:tcPr>
            <w:tcW w:type="dxa" w:w="2500"/>
            <w:vAlign w:val="top"/>
            <w:shd w:fill="F1F3F4"/>
          </w:tcPr>
          <w:p>
            <w:r/>
            <w:r>
              <w:rPr>
                <w:rFonts w:ascii="Arial" w:hAnsi="Arial"/>
                <w:b/>
                <w:sz w:val="16"/>
              </w:rPr>
              <w:t>Aktuelle Funktion</w:t>
            </w:r>
          </w:p>
        </w:tc>
        <w:tc>
          <w:tcPr>
            <w:tcW w:type="dxa" w:w="3200"/>
            <w:vAlign w:val="top"/>
            <w:shd w:fill="F1F3F4"/>
          </w:tcPr>
          <w:p>
            <w:r/>
            <w:r>
              <w:rPr>
                <w:rFonts w:ascii="Arial" w:hAnsi="Arial"/>
                <w:b/>
                <w:sz w:val="16"/>
              </w:rPr>
              <w:t>Druckfassungsentscheidung</w:t>
            </w:r>
          </w:p>
        </w:tc>
        <w:tc>
          <w:tcPr>
            <w:tcW w:type="dxa" w:w="1500"/>
            <w:vAlign w:val="top"/>
            <w:shd w:fill="F1F3F4"/>
          </w:tcPr>
          <w:p>
            <w:r/>
            <w:r>
              <w:rPr>
                <w:rFonts w:ascii="Arial" w:hAnsi="Arial"/>
                <w:b/>
                <w:sz w:val="16"/>
              </w:rPr>
              <w:t>Konkrete Aktion</w:t>
            </w:r>
          </w:p>
        </w:tc>
      </w:tr>
      <w:tr>
        <w:tc>
          <w:tcPr>
            <w:tcW w:type="dxa" w:w="1800"/>
            <w:vAlign w:val="top"/>
          </w:tcPr>
          <w:p>
            <w:r/>
            <w:r>
              <w:rPr>
                <w:rFonts w:ascii="Arial" w:hAnsi="Arial"/>
                <w:b w:val="0"/>
                <w:sz w:val="16"/>
              </w:rPr>
              <w:t>Synthese A/C/G</w:t>
            </w:r>
          </w:p>
        </w:tc>
        <w:tc>
          <w:tcPr>
            <w:tcW w:type="dxa" w:w="2500"/>
            <w:vAlign w:val="top"/>
          </w:tcPr>
          <w:p>
            <w:r/>
            <w:r>
              <w:rPr>
                <w:rFonts w:ascii="Arial" w:hAnsi="Arial"/>
                <w:b w:val="0"/>
                <w:sz w:val="16"/>
              </w:rPr>
              <w:t>Fruehe El-JHWH-Auswertungen und Grundlagendokumente.</w:t>
            </w:r>
          </w:p>
        </w:tc>
        <w:tc>
          <w:tcPr>
            <w:tcW w:type="dxa" w:w="3200"/>
            <w:vAlign w:val="top"/>
          </w:tcPr>
          <w:p>
            <w:r/>
            <w:r>
              <w:rPr>
                <w:rFonts w:ascii="Arial" w:hAnsi="Arial"/>
                <w:b w:val="0"/>
                <w:sz w:val="16"/>
              </w:rPr>
              <w:t>Als Transfernachweis behalten; Hauptargument liegt in Kap. 1, 3, 5 und 9.</w:t>
            </w:r>
          </w:p>
        </w:tc>
        <w:tc>
          <w:tcPr>
            <w:tcW w:type="dxa" w:w="1500"/>
            <w:vAlign w:val="top"/>
          </w:tcPr>
          <w:p>
            <w:r/>
            <w:r>
              <w:rPr>
                <w:rFonts w:ascii="Arial" w:hAnsi="Arial"/>
                <w:b w:val="0"/>
                <w:sz w:val="16"/>
              </w:rPr>
              <w:t>Kuerzen, sobald Dopplungen zu Kap. 1-9 sichtbar sind.</w:t>
            </w:r>
          </w:p>
        </w:tc>
      </w:tr>
      <w:tr>
        <w:tc>
          <w:tcPr>
            <w:tcW w:type="dxa" w:w="1800"/>
            <w:vAlign w:val="top"/>
          </w:tcPr>
          <w:p>
            <w:r/>
            <w:r>
              <w:rPr>
                <w:rFonts w:ascii="Arial" w:hAnsi="Arial"/>
                <w:b w:val="0"/>
                <w:sz w:val="16"/>
              </w:rPr>
              <w:t>Synthese B/H/I/J/K</w:t>
            </w:r>
          </w:p>
        </w:tc>
        <w:tc>
          <w:tcPr>
            <w:tcW w:type="dxa" w:w="2500"/>
            <w:vAlign w:val="top"/>
          </w:tcPr>
          <w:p>
            <w:r/>
            <w:r>
              <w:rPr>
                <w:rFonts w:ascii="Arial" w:hAnsi="Arial"/>
                <w:b w:val="0"/>
                <w:sz w:val="16"/>
              </w:rPr>
              <w:t>Forschungsplan, Vorstufe, Stufenmodell und goettlicher Rat.</w:t>
            </w:r>
          </w:p>
        </w:tc>
        <w:tc>
          <w:tcPr>
            <w:tcW w:type="dxa" w:w="3200"/>
            <w:vAlign w:val="top"/>
          </w:tcPr>
          <w:p>
            <w:r/>
            <w:r>
              <w:rPr>
                <w:rFonts w:ascii="Arial" w:hAnsi="Arial"/>
                <w:b w:val="0"/>
                <w:sz w:val="16"/>
              </w:rPr>
              <w:t>Als methodischer Brueckenblock behalten; Hauptmodell liegt in Kap. 1-2 und 9-12.</w:t>
            </w:r>
          </w:p>
        </w:tc>
        <w:tc>
          <w:tcPr>
            <w:tcW w:type="dxa" w:w="1500"/>
            <w:vAlign w:val="top"/>
          </w:tcPr>
          <w:p>
            <w:r/>
            <w:r>
              <w:rPr>
                <w:rFonts w:ascii="Arial" w:hAnsi="Arial"/>
                <w:b w:val="0"/>
                <w:sz w:val="16"/>
              </w:rPr>
              <w:t>Nur Kernaussagen erhalten; Tabellen bei Bedarf in den Anhang verschieben.</w:t>
            </w:r>
          </w:p>
        </w:tc>
      </w:tr>
      <w:tr>
        <w:tc>
          <w:tcPr>
            <w:tcW w:type="dxa" w:w="1800"/>
            <w:vAlign w:val="top"/>
          </w:tcPr>
          <w:p>
            <w:r/>
            <w:r>
              <w:rPr>
                <w:rFonts w:ascii="Arial" w:hAnsi="Arial"/>
                <w:b w:val="0"/>
                <w:sz w:val="16"/>
              </w:rPr>
              <w:t>Synthese D/E/F</w:t>
            </w:r>
          </w:p>
        </w:tc>
        <w:tc>
          <w:tcPr>
            <w:tcW w:type="dxa" w:w="2500"/>
            <w:vAlign w:val="top"/>
          </w:tcPr>
          <w:p>
            <w:r/>
            <w:r>
              <w:rPr>
                <w:rFonts w:ascii="Arial" w:hAnsi="Arial"/>
                <w:b w:val="0"/>
                <w:sz w:val="16"/>
              </w:rPr>
              <w:t>YouTube-/PDF-/Anunnaki-Material als Impuls, Vergleich und Abgrenzung.</w:t>
            </w:r>
          </w:p>
        </w:tc>
        <w:tc>
          <w:tcPr>
            <w:tcW w:type="dxa" w:w="3200"/>
            <w:vAlign w:val="top"/>
          </w:tcPr>
          <w:p>
            <w:r/>
            <w:r>
              <w:rPr>
                <w:rFonts w:ascii="Arial" w:hAnsi="Arial"/>
                <w:b w:val="0"/>
                <w:sz w:val="16"/>
              </w:rPr>
              <w:t>Nicht als Beweisblock, sondern als Rezeptions- und Abgrenzungsbereich fuehren.</w:t>
            </w:r>
          </w:p>
        </w:tc>
        <w:tc>
          <w:tcPr>
            <w:tcW w:type="dxa" w:w="1500"/>
            <w:vAlign w:val="top"/>
          </w:tcPr>
          <w:p>
            <w:r/>
            <w:r>
              <w:rPr>
                <w:rFonts w:ascii="Arial" w:hAnsi="Arial"/>
                <w:b w:val="0"/>
                <w:sz w:val="16"/>
              </w:rPr>
              <w:t>Pra-astronautische oder direkte Identitaetsbehauptungen nur als verworfene/strittige These markieren.</w:t>
            </w:r>
          </w:p>
        </w:tc>
      </w:tr>
      <w:tr>
        <w:tc>
          <w:tcPr>
            <w:tcW w:type="dxa" w:w="1800"/>
            <w:vAlign w:val="top"/>
          </w:tcPr>
          <w:p>
            <w:r/>
            <w:r>
              <w:rPr>
                <w:rFonts w:ascii="Arial" w:hAnsi="Arial"/>
                <w:b w:val="0"/>
                <w:sz w:val="16"/>
              </w:rPr>
              <w:t>Synthesen L/M/N und Apokalyptik</w:t>
            </w:r>
          </w:p>
        </w:tc>
        <w:tc>
          <w:tcPr>
            <w:tcW w:type="dxa" w:w="2500"/>
            <w:vAlign w:val="top"/>
          </w:tcPr>
          <w:p>
            <w:r/>
            <w:r>
              <w:rPr>
                <w:rFonts w:ascii="Arial" w:hAnsi="Arial"/>
                <w:b w:val="0"/>
                <w:sz w:val="16"/>
              </w:rPr>
              <w:t>Wissenschaftlichkeit, Weltgottheitenuebersicht, Genesis/Noah/10 Gebote/Schoepfung, Juengstes Gericht.</w:t>
            </w:r>
          </w:p>
        </w:tc>
        <w:tc>
          <w:tcPr>
            <w:tcW w:type="dxa" w:w="3200"/>
            <w:vAlign w:val="top"/>
          </w:tcPr>
          <w:p>
            <w:r/>
            <w:r>
              <w:rPr>
                <w:rFonts w:ascii="Arial" w:hAnsi="Arial"/>
                <w:b w:val="0"/>
                <w:sz w:val="16"/>
              </w:rPr>
              <w:t>Als thematische Vertiefungsnachweise behalten; zentrale Ergebnisse sind in Kap. 6, 8, 9 und 11 zu spiegeln.</w:t>
            </w:r>
          </w:p>
        </w:tc>
        <w:tc>
          <w:tcPr>
            <w:tcW w:type="dxa" w:w="1500"/>
            <w:vAlign w:val="top"/>
          </w:tcPr>
          <w:p>
            <w:r/>
            <w:r>
              <w:rPr>
                <w:rFonts w:ascii="Arial" w:hAnsi="Arial"/>
                <w:b w:val="0"/>
                <w:sz w:val="16"/>
              </w:rPr>
              <w:t>Langlisten und Wiederholungen in Anlagenbereich auslagern.</w:t>
            </w:r>
          </w:p>
        </w:tc>
      </w:tr>
      <w:tr>
        <w:tc>
          <w:tcPr>
            <w:tcW w:type="dxa" w:w="1800"/>
            <w:vAlign w:val="top"/>
          </w:tcPr>
          <w:p>
            <w:r/>
            <w:r>
              <w:rPr>
                <w:rFonts w:ascii="Arial" w:hAnsi="Arial"/>
                <w:b w:val="0"/>
                <w:sz w:val="16"/>
              </w:rPr>
              <w:t>Originalanlagen A-N</w:t>
            </w:r>
          </w:p>
        </w:tc>
        <w:tc>
          <w:tcPr>
            <w:tcW w:type="dxa" w:w="2500"/>
            <w:vAlign w:val="top"/>
          </w:tcPr>
          <w:p>
            <w:r/>
            <w:r>
              <w:rPr>
                <w:rFonts w:ascii="Arial" w:hAnsi="Arial"/>
                <w:b w:val="0"/>
                <w:sz w:val="16"/>
              </w:rPr>
              <w:t>Arbeitsdokumente, Dossiers, lokale Auswertungen und eingebrachte Materialien.</w:t>
            </w:r>
          </w:p>
        </w:tc>
        <w:tc>
          <w:tcPr>
            <w:tcW w:type="dxa" w:w="3200"/>
            <w:vAlign w:val="top"/>
          </w:tcPr>
          <w:p>
            <w:r/>
            <w:r>
              <w:rPr>
                <w:rFonts w:ascii="Arial" w:hAnsi="Arial"/>
                <w:b w:val="0"/>
                <w:sz w:val="16"/>
              </w:rPr>
              <w:t>Nachweis- und Archivstatus.</w:t>
            </w:r>
          </w:p>
        </w:tc>
        <w:tc>
          <w:tcPr>
            <w:tcW w:type="dxa" w:w="1500"/>
            <w:vAlign w:val="top"/>
          </w:tcPr>
          <w:p>
            <w:r/>
            <w:r>
              <w:rPr>
                <w:rFonts w:ascii="Arial" w:hAnsi="Arial"/>
                <w:b w:val="0"/>
                <w:sz w:val="16"/>
              </w:rPr>
              <w:t>Nicht voll im Hauptteil wiederholen; Anlagenverzeichnis und Quellenregister aktuell halten.</w:t>
            </w:r>
          </w:p>
        </w:tc>
      </w:tr>
      <w:tr>
        <w:tc>
          <w:tcPr>
            <w:tcW w:type="dxa" w:w="1800"/>
            <w:vAlign w:val="top"/>
          </w:tcPr>
          <w:p>
            <w:r/>
            <w:r>
              <w:rPr>
                <w:rFonts w:ascii="Arial" w:hAnsi="Arial"/>
                <w:b w:val="0"/>
                <w:sz w:val="16"/>
              </w:rPr>
              <w:t>Alter Hauptteil / fruehere Fassung</w:t>
            </w:r>
          </w:p>
        </w:tc>
        <w:tc>
          <w:tcPr>
            <w:tcW w:type="dxa" w:w="2500"/>
            <w:vAlign w:val="top"/>
          </w:tcPr>
          <w:p>
            <w:r/>
            <w:r>
              <w:rPr>
                <w:rFonts w:ascii="Arial" w:hAnsi="Arial"/>
                <w:b w:val="0"/>
                <w:sz w:val="16"/>
              </w:rPr>
              <w:t>Historischer Arbeitsstand und Rohmaterial.</w:t>
            </w:r>
          </w:p>
        </w:tc>
        <w:tc>
          <w:tcPr>
            <w:tcW w:type="dxa" w:w="3200"/>
            <w:vAlign w:val="top"/>
          </w:tcPr>
          <w:p>
            <w:r/>
            <w:r>
              <w:rPr>
                <w:rFonts w:ascii="Arial" w:hAnsi="Arial"/>
                <w:b w:val="0"/>
                <w:sz w:val="16"/>
              </w:rPr>
              <w:t>Archivspur, keine Lesefassung.</w:t>
            </w:r>
          </w:p>
        </w:tc>
        <w:tc>
          <w:tcPr>
            <w:tcW w:type="dxa" w:w="1500"/>
            <w:vAlign w:val="top"/>
          </w:tcPr>
          <w:p>
            <w:r/>
            <w:r>
              <w:rPr>
                <w:rFonts w:ascii="Arial" w:hAnsi="Arial"/>
                <w:b w:val="0"/>
                <w:sz w:val="16"/>
              </w:rPr>
              <w:t>Nur Aussagen uebernehmen, wenn sie in Antwortkapiteln belegt und bewertet wurden.</w:t>
            </w:r>
          </w:p>
        </w:tc>
      </w:tr>
    </w:tbl>
    <w:p>
      <w:pPr>
        <w:pStyle w:val="Heading2"/>
      </w:pPr>
      <w:r>
        <w:t>3. Ergebnis dieser Phase</w:t>
      </w:r>
    </w:p>
    <w:p>
      <w:r>
        <w:rPr>
          <w:rFonts w:ascii="Arial" w:hAnsi="Arial"/>
        </w:rPr>
        <w:t>Damit ist die Strukturentscheidung fuer die naechste Arbeitsrunde getroffen: Die Lesefassung wird nicht durch weitere offene Materialbloecke erweitert, sondern durch Kuerzung, Belegnormalisierung und gezielte Ueberfuehrung relevanter Restpunkte gestrafft. Der naechste praktische Schritt ist eine Dopplungspruefung der integrierten Synthesen gegen Kapitel 1-14.</w:t>
      </w:r>
    </w:p>
    <w:p>
      <w:r>
        <w:br w:type="page"/>
      </w:r>
    </w:p>
    <w:p>
      <w:pPr>
        <w:pStyle w:val="Heading1"/>
      </w:pPr>
      <w:r>
        <w:t>Gekuerzte integrierte Synthesen aus Altmaterial und Anlagen</w:t>
      </w:r>
    </w:p>
    <w:p>
      <w:r>
        <w:rPr>
          <w:rFonts w:ascii="Arial" w:hAnsi="Arial"/>
        </w:rPr>
        <w:t>Die bisher ausfuehrlichen Synthesen A-N wurden gegen die Antwortkapitel 1-14 geprueft. Das Ergebnis ist eine gekuerzte Transferfassung: Wiederholte Sachargumente bleiben im Hauptteil, waehrend die Anlagen hier nur noch als Herkunfts-, Pruef- und Restarbeitsnachweis erscheinen.</w:t>
      </w:r>
    </w:p>
    <w:p>
      <w:pPr>
        <w:pStyle w:val="Heading2"/>
      </w:pPr>
      <w:r>
        <w:t>1. Ergebnis der Dopplungspruefung</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Anlagenblock</w:t>
            </w:r>
          </w:p>
        </w:tc>
        <w:tc>
          <w:tcPr>
            <w:tcW w:type="dxa" w:w="3300"/>
            <w:vAlign w:val="top"/>
            <w:shd w:fill="F1F3F4"/>
          </w:tcPr>
          <w:p>
            <w:r/>
            <w:r>
              <w:rPr>
                <w:rFonts w:ascii="Arial" w:hAnsi="Arial"/>
                <w:b/>
                <w:sz w:val="16"/>
              </w:rPr>
              <w:t>Gepruefter Inhalt</w:t>
            </w:r>
          </w:p>
        </w:tc>
        <w:tc>
          <w:tcPr>
            <w:tcW w:type="dxa" w:w="3300"/>
            <w:vAlign w:val="top"/>
            <w:shd w:fill="F1F3F4"/>
          </w:tcPr>
          <w:p>
            <w:r/>
            <w:r>
              <w:rPr>
                <w:rFonts w:ascii="Arial" w:hAnsi="Arial"/>
                <w:b/>
                <w:sz w:val="16"/>
              </w:rPr>
              <w:t>Entscheidung fuer die Lesefassung</w:t>
            </w:r>
          </w:p>
        </w:tc>
      </w:tr>
      <w:tr>
        <w:tc>
          <w:tcPr>
            <w:tcW w:type="dxa" w:w="2400"/>
            <w:vAlign w:val="top"/>
          </w:tcPr>
          <w:p>
            <w:r/>
            <w:r>
              <w:rPr>
                <w:rFonts w:ascii="Arial" w:hAnsi="Arial"/>
                <w:b w:val="0"/>
                <w:sz w:val="16"/>
              </w:rPr>
              <w:t>A/C/G</w:t>
            </w:r>
          </w:p>
        </w:tc>
        <w:tc>
          <w:tcPr>
            <w:tcW w:type="dxa" w:w="3300"/>
            <w:vAlign w:val="top"/>
          </w:tcPr>
          <w:p>
            <w:r/>
            <w:r>
              <w:rPr>
                <w:rFonts w:ascii="Arial" w:hAnsi="Arial"/>
                <w:b w:val="0"/>
                <w:sz w:val="16"/>
              </w:rPr>
              <w:t>El-JHWH-Grundthese, fruehe Gottheitenauswertung, Arbeitsgrundlagen.</w:t>
            </w:r>
          </w:p>
        </w:tc>
        <w:tc>
          <w:tcPr>
            <w:tcW w:type="dxa" w:w="3300"/>
            <w:vAlign w:val="top"/>
          </w:tcPr>
          <w:p>
            <w:r/>
            <w:r>
              <w:rPr>
                <w:rFonts w:ascii="Arial" w:hAnsi="Arial"/>
                <w:b w:val="0"/>
                <w:sz w:val="16"/>
              </w:rPr>
              <w:t>Inhaltlich durch Kap. 1, 3, 5 und 9 abgedeckt; hier nur noch Herkunftsnachweis.</w:t>
            </w:r>
          </w:p>
        </w:tc>
      </w:tr>
      <w:tr>
        <w:tc>
          <w:tcPr>
            <w:tcW w:type="dxa" w:w="2400"/>
            <w:vAlign w:val="top"/>
          </w:tcPr>
          <w:p>
            <w:r/>
            <w:r>
              <w:rPr>
                <w:rFonts w:ascii="Arial" w:hAnsi="Arial"/>
                <w:b w:val="0"/>
                <w:sz w:val="16"/>
              </w:rPr>
              <w:t>B/H/I/J/K</w:t>
            </w:r>
          </w:p>
        </w:tc>
        <w:tc>
          <w:tcPr>
            <w:tcW w:type="dxa" w:w="3300"/>
            <w:vAlign w:val="top"/>
          </w:tcPr>
          <w:p>
            <w:r/>
            <w:r>
              <w:rPr>
                <w:rFonts w:ascii="Arial" w:hAnsi="Arial"/>
                <w:b w:val="0"/>
                <w:sz w:val="16"/>
              </w:rPr>
              <w:t>Forschungsplan, Vorstufe, Stufenmodell, goettlicher Rat, Chatpruefung.</w:t>
            </w:r>
          </w:p>
        </w:tc>
        <w:tc>
          <w:tcPr>
            <w:tcW w:type="dxa" w:w="3300"/>
            <w:vAlign w:val="top"/>
          </w:tcPr>
          <w:p>
            <w:r/>
            <w:r>
              <w:rPr>
                <w:rFonts w:ascii="Arial" w:hAnsi="Arial"/>
                <w:b w:val="0"/>
                <w:sz w:val="16"/>
              </w:rPr>
              <w:t>Durch Kap. 1-2 und 9-12 abgedeckt; behalten als Methoden- und Modellspur.</w:t>
            </w:r>
          </w:p>
        </w:tc>
      </w:tr>
      <w:tr>
        <w:tc>
          <w:tcPr>
            <w:tcW w:type="dxa" w:w="2400"/>
            <w:vAlign w:val="top"/>
          </w:tcPr>
          <w:p>
            <w:r/>
            <w:r>
              <w:rPr>
                <w:rFonts w:ascii="Arial" w:hAnsi="Arial"/>
                <w:b w:val="0"/>
                <w:sz w:val="16"/>
              </w:rPr>
              <w:t>D/E/F</w:t>
            </w:r>
          </w:p>
        </w:tc>
        <w:tc>
          <w:tcPr>
            <w:tcW w:type="dxa" w:w="3300"/>
            <w:vAlign w:val="top"/>
          </w:tcPr>
          <w:p>
            <w:r/>
            <w:r>
              <w:rPr>
                <w:rFonts w:ascii="Arial" w:hAnsi="Arial"/>
                <w:b w:val="0"/>
                <w:sz w:val="16"/>
              </w:rPr>
              <w:t>YouTube-/PDF-/Anunnaki-Material.</w:t>
            </w:r>
          </w:p>
        </w:tc>
        <w:tc>
          <w:tcPr>
            <w:tcW w:type="dxa" w:w="3300"/>
            <w:vAlign w:val="top"/>
          </w:tcPr>
          <w:p>
            <w:r/>
            <w:r>
              <w:rPr>
                <w:rFonts w:ascii="Arial" w:hAnsi="Arial"/>
                <w:b w:val="0"/>
                <w:sz w:val="16"/>
              </w:rPr>
              <w:t>Nicht Beweisblock, sondern Impuls-, Vergleichs- und Abgrenzungsmaterial; Kap. 7 und 9 sind massgeblich.</w:t>
            </w:r>
          </w:p>
        </w:tc>
      </w:tr>
      <w:tr>
        <w:tc>
          <w:tcPr>
            <w:tcW w:type="dxa" w:w="2400"/>
            <w:vAlign w:val="top"/>
          </w:tcPr>
          <w:p>
            <w:r/>
            <w:r>
              <w:rPr>
                <w:rFonts w:ascii="Arial" w:hAnsi="Arial"/>
                <w:b w:val="0"/>
                <w:sz w:val="16"/>
              </w:rPr>
              <w:t>L/M/N</w:t>
            </w:r>
          </w:p>
        </w:tc>
        <w:tc>
          <w:tcPr>
            <w:tcW w:type="dxa" w:w="3300"/>
            <w:vAlign w:val="top"/>
          </w:tcPr>
          <w:p>
            <w:r/>
            <w:r>
              <w:rPr>
                <w:rFonts w:ascii="Arial" w:hAnsi="Arial"/>
                <w:b w:val="0"/>
                <w:sz w:val="16"/>
              </w:rPr>
              <w:t>Wissenschaftlichkeit, Weltgottheitenuebersicht, Genesis/Noah/10 Gebote/Schoepfung.</w:t>
            </w:r>
          </w:p>
        </w:tc>
        <w:tc>
          <w:tcPr>
            <w:tcW w:type="dxa" w:w="3300"/>
            <w:vAlign w:val="top"/>
          </w:tcPr>
          <w:p>
            <w:r/>
            <w:r>
              <w:rPr>
                <w:rFonts w:ascii="Arial" w:hAnsi="Arial"/>
                <w:b w:val="0"/>
                <w:sz w:val="16"/>
              </w:rPr>
              <w:t>Als Vertiefungs- und Kontextmaterial behalten; zentrale Schlussfolgerungen in Kap. 8-11.</w:t>
            </w:r>
          </w:p>
        </w:tc>
      </w:tr>
      <w:tr>
        <w:tc>
          <w:tcPr>
            <w:tcW w:type="dxa" w:w="2400"/>
            <w:vAlign w:val="top"/>
          </w:tcPr>
          <w:p>
            <w:r/>
            <w:r>
              <w:rPr>
                <w:rFonts w:ascii="Arial" w:hAnsi="Arial"/>
                <w:b w:val="0"/>
                <w:sz w:val="16"/>
              </w:rPr>
              <w:t>Apokalyptik/Juengstes Gericht</w:t>
            </w:r>
          </w:p>
        </w:tc>
        <w:tc>
          <w:tcPr>
            <w:tcW w:type="dxa" w:w="3300"/>
            <w:vAlign w:val="top"/>
          </w:tcPr>
          <w:p>
            <w:r/>
            <w:r>
              <w:rPr>
                <w:rFonts w:ascii="Arial" w:hAnsi="Arial"/>
                <w:b w:val="0"/>
                <w:sz w:val="16"/>
              </w:rPr>
              <w:t>Gericht, Satan, Engel, vier Reiter, Endkampf.</w:t>
            </w:r>
          </w:p>
        </w:tc>
        <w:tc>
          <w:tcPr>
            <w:tcW w:type="dxa" w:w="3300"/>
            <w:vAlign w:val="top"/>
          </w:tcPr>
          <w:p>
            <w:r/>
            <w:r>
              <w:rPr>
                <w:rFonts w:ascii="Arial" w:hAnsi="Arial"/>
                <w:b w:val="0"/>
                <w:sz w:val="16"/>
              </w:rPr>
              <w:t>Durch Kap. 6, 8 und 9 gerahmt; keine Rueckprojektion in fruehisraelitische Religion.</w:t>
            </w:r>
          </w:p>
        </w:tc>
      </w:tr>
    </w:tbl>
    <w:p>
      <w:pPr>
        <w:pStyle w:val="Heading2"/>
      </w:pPr>
      <w:r>
        <w:t>2. Verdichtete Uebernahme in die Hauptargumentation</w:t>
      </w:r>
    </w:p>
    <w:p>
      <w:pPr>
        <w:pStyle w:val="ListBullet"/>
      </w:pPr>
      <w:r>
        <w:rPr>
          <w:rFonts w:ascii="Arial" w:hAnsi="Arial"/>
        </w:rPr>
        <w:t>Die El-JHWH-Linie bleibt der staerkste historisch rekonstruierbare Kern: JHWH wird im israelitischen Traditionsprozess mit El identifiziert und uebernimmt El-Titel, El-Funktionen und Hochgottrolle.</w:t>
      </w:r>
    </w:p>
    <w:p>
      <w:pPr>
        <w:pStyle w:val="ListBullet"/>
      </w:pPr>
      <w:r>
        <w:rPr>
          <w:rFonts w:ascii="Arial" w:hAnsi="Arial"/>
        </w:rPr>
        <w:t>Baal/Hadad, Marduk, Anunnaki und andere Gottheiten werden nicht als identische Namen desselben Gottes gefuehrt, sondern als Vergleichs-, Einfluss-, Konkurrenz- oder Motivfelder.</w:t>
      </w:r>
    </w:p>
    <w:p>
      <w:pPr>
        <w:pStyle w:val="ListBullet"/>
      </w:pPr>
      <w:r>
        <w:rPr>
          <w:rFonts w:ascii="Arial" w:hAnsi="Arial"/>
        </w:rPr>
        <w:t>Aschera bleibt als eigenes Streitdossier zu behandeln: Goettin, Kultsymbol, Hypostase und Volksreligion duerfen nicht vorschnell gleichgesetzt werden.</w:t>
      </w:r>
    </w:p>
    <w:p>
      <w:pPr>
        <w:pStyle w:val="ListBullet"/>
      </w:pPr>
      <w:r>
        <w:rPr>
          <w:rFonts w:ascii="Arial" w:hAnsi="Arial"/>
        </w:rPr>
        <w:t>Second-Temple-Engel, Waechter, Daemonen und apokalyptische Maechte gehoeren in die spaetere Umdeutungsphase, nicht in die fruehisraelitische Ausgangsstufe.</w:t>
      </w:r>
    </w:p>
    <w:p>
      <w:pPr>
        <w:pStyle w:val="ListBullet"/>
      </w:pPr>
      <w:r>
        <w:rPr>
          <w:rFonts w:ascii="Arial" w:hAnsi="Arial"/>
        </w:rPr>
        <w:t>Gewalt-, Opfer-, Plagen- und Gerichtstexte bleiben ein ethisch-theologischer Problembereich. Sie erklaeren Macht- und Exklusivitaetsansprueche, beweisen aber nicht automatisch die moralische Ueberlegenheit der JHWH-Religion.</w:t>
      </w:r>
    </w:p>
    <w:p>
      <w:r>
        <w:br w:type="page"/>
      </w:r>
    </w:p>
    <w:p>
      <w:pPr>
        <w:pStyle w:val="Heading2"/>
      </w:pPr>
      <w:r>
        <w:t>3. Restpunkte fuer spaetere gezielte Dossiers</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Restpunkt</w:t>
            </w:r>
          </w:p>
        </w:tc>
        <w:tc>
          <w:tcPr>
            <w:tcW w:type="dxa" w:w="3300"/>
            <w:vAlign w:val="top"/>
            <w:shd w:fill="F1F3F4"/>
          </w:tcPr>
          <w:p>
            <w:r/>
            <w:r>
              <w:rPr>
                <w:rFonts w:ascii="Arial" w:hAnsi="Arial"/>
                <w:b/>
                <w:sz w:val="16"/>
              </w:rPr>
              <w:t>Befund</w:t>
            </w:r>
          </w:p>
        </w:tc>
        <w:tc>
          <w:tcPr>
            <w:tcW w:type="dxa" w:w="3300"/>
            <w:vAlign w:val="top"/>
            <w:shd w:fill="F1F3F4"/>
          </w:tcPr>
          <w:p>
            <w:r/>
            <w:r>
              <w:rPr>
                <w:rFonts w:ascii="Arial" w:hAnsi="Arial"/>
                <w:b/>
                <w:sz w:val="16"/>
              </w:rPr>
              <w:t>Weitere Bearbeitung</w:t>
            </w:r>
          </w:p>
        </w:tc>
      </w:tr>
      <w:tr>
        <w:tc>
          <w:tcPr>
            <w:tcW w:type="dxa" w:w="2400"/>
            <w:vAlign w:val="top"/>
          </w:tcPr>
          <w:p>
            <w:r/>
            <w:r>
              <w:rPr>
                <w:rFonts w:ascii="Arial" w:hAnsi="Arial"/>
                <w:b w:val="0"/>
                <w:sz w:val="16"/>
              </w:rPr>
              <w:t>Literaturapparat</w:t>
            </w:r>
          </w:p>
        </w:tc>
        <w:tc>
          <w:tcPr>
            <w:tcW w:type="dxa" w:w="3300"/>
            <w:vAlign w:val="top"/>
          </w:tcPr>
          <w:p>
            <w:r/>
            <w:r>
              <w:rPr>
                <w:rFonts w:ascii="Arial" w:hAnsi="Arial"/>
                <w:b w:val="0"/>
                <w:sz w:val="16"/>
              </w:rPr>
              <w:t>Bibliographische Normalisierung V1 erstellt; spaetere Feinnormalisierung moeglich.</w:t>
            </w:r>
          </w:p>
        </w:tc>
        <w:tc>
          <w:tcPr>
            <w:tcW w:type="dxa" w:w="3300"/>
            <w:vAlign w:val="top"/>
          </w:tcPr>
          <w:p>
            <w:r/>
            <w:r>
              <w:rPr>
                <w:rFonts w:ascii="Arial" w:hAnsi="Arial"/>
                <w:b w:val="0"/>
                <w:sz w:val="16"/>
              </w:rPr>
              <w:t>Druckfassungsarbeit, keine neue Sachthese.</w:t>
            </w:r>
          </w:p>
        </w:tc>
      </w:tr>
      <w:tr>
        <w:tc>
          <w:tcPr>
            <w:tcW w:type="dxa" w:w="2400"/>
            <w:vAlign w:val="top"/>
          </w:tcPr>
          <w:p>
            <w:r/>
            <w:r>
              <w:rPr>
                <w:rFonts w:ascii="Arial" w:hAnsi="Arial"/>
                <w:b w:val="0"/>
                <w:sz w:val="16"/>
              </w:rPr>
              <w:t>Weltgottheitenuebersicht</w:t>
            </w:r>
          </w:p>
        </w:tc>
        <w:tc>
          <w:tcPr>
            <w:tcW w:type="dxa" w:w="3300"/>
            <w:vAlign w:val="top"/>
          </w:tcPr>
          <w:p>
            <w:r/>
            <w:r>
              <w:rPr>
                <w:rFonts w:ascii="Arial" w:hAnsi="Arial"/>
                <w:b w:val="0"/>
                <w:sz w:val="16"/>
              </w:rPr>
              <w:t>Breit angelegt, aber nicht als Identitaetsbeweis geeignet.</w:t>
            </w:r>
          </w:p>
        </w:tc>
        <w:tc>
          <w:tcPr>
            <w:tcW w:type="dxa" w:w="3300"/>
            <w:vAlign w:val="top"/>
          </w:tcPr>
          <w:p>
            <w:r/>
            <w:r>
              <w:rPr>
                <w:rFonts w:ascii="Arial" w:hAnsi="Arial"/>
                <w:b w:val="0"/>
                <w:sz w:val="16"/>
              </w:rPr>
              <w:t>Als Vergleichsmatrix fortfuehren; Beleggrad je Gottheit markieren.</w:t>
            </w:r>
          </w:p>
        </w:tc>
      </w:tr>
      <w:tr>
        <w:tc>
          <w:tcPr>
            <w:tcW w:type="dxa" w:w="2400"/>
            <w:vAlign w:val="top"/>
          </w:tcPr>
          <w:p>
            <w:r/>
            <w:r>
              <w:rPr>
                <w:rFonts w:ascii="Arial" w:hAnsi="Arial"/>
                <w:b w:val="0"/>
                <w:sz w:val="16"/>
              </w:rPr>
              <w:t>Textvarianten</w:t>
            </w:r>
          </w:p>
        </w:tc>
        <w:tc>
          <w:tcPr>
            <w:tcW w:type="dxa" w:w="3300"/>
            <w:vAlign w:val="top"/>
          </w:tcPr>
          <w:p>
            <w:r/>
            <w:r>
              <w:rPr>
                <w:rFonts w:ascii="Arial" w:hAnsi="Arial"/>
                <w:b w:val="0"/>
                <w:sz w:val="16"/>
              </w:rPr>
              <w:t>Dtn 32, Ps 82, Genesis, Exodus und Apokalyptik bleiben zentrale Kontrolltexte.</w:t>
            </w:r>
          </w:p>
        </w:tc>
        <w:tc>
          <w:tcPr>
            <w:tcW w:type="dxa" w:w="3300"/>
            <w:vAlign w:val="top"/>
          </w:tcPr>
          <w:p>
            <w:r/>
            <w:r>
              <w:rPr>
                <w:rFonts w:ascii="Arial" w:hAnsi="Arial"/>
                <w:b w:val="0"/>
                <w:sz w:val="16"/>
              </w:rPr>
              <w:t>Bei naechster Sachvertiefung mit Primartext, Variante und Forschungsmeinung ausweisen.</w:t>
            </w:r>
          </w:p>
        </w:tc>
      </w:tr>
      <w:tr>
        <w:tc>
          <w:tcPr>
            <w:tcW w:type="dxa" w:w="2400"/>
            <w:vAlign w:val="top"/>
          </w:tcPr>
          <w:p>
            <w:r/>
            <w:r>
              <w:rPr>
                <w:rFonts w:ascii="Arial" w:hAnsi="Arial"/>
                <w:b w:val="0"/>
                <w:sz w:val="16"/>
              </w:rPr>
              <w:t>Anlagenarchiv</w:t>
            </w:r>
          </w:p>
        </w:tc>
        <w:tc>
          <w:tcPr>
            <w:tcW w:type="dxa" w:w="3300"/>
            <w:vAlign w:val="top"/>
          </w:tcPr>
          <w:p>
            <w:r/>
            <w:r>
              <w:rPr>
                <w:rFonts w:ascii="Arial" w:hAnsi="Arial"/>
                <w:b w:val="0"/>
                <w:sz w:val="16"/>
              </w:rPr>
              <w:t>Originalmaterial bleibt wichtig, aber nicht lesefassungsbestimmend.</w:t>
            </w:r>
          </w:p>
        </w:tc>
        <w:tc>
          <w:tcPr>
            <w:tcW w:type="dxa" w:w="3300"/>
            <w:vAlign w:val="top"/>
          </w:tcPr>
          <w:p>
            <w:r/>
            <w:r>
              <w:rPr>
                <w:rFonts w:ascii="Arial" w:hAnsi="Arial"/>
                <w:b w:val="0"/>
                <w:sz w:val="16"/>
              </w:rPr>
              <w:t>Nur gezielt zitieren; keine Vollwiederholung im Hauptteil.</w:t>
            </w:r>
          </w:p>
        </w:tc>
      </w:tr>
    </w:tbl>
    <w:p>
      <w:pPr>
        <w:pStyle w:val="Heading2"/>
      </w:pPr>
      <w:r>
        <w:t>4. Ergebnis</w:t>
      </w:r>
    </w:p>
    <w:p>
      <w:r>
        <w:rPr>
          <w:rFonts w:ascii="Arial" w:hAnsi="Arial"/>
        </w:rPr>
        <w:t>Die Dopplungspruefung ist damit redaktionell umgesetzt. Die Lesefassung enthaelt nun einen geschlossenen Hauptteil bis Kapitel 14, eine klare Strukturentscheidung und eine kompakte Transferfassung der Anlagen. Die naechste Phase sollte sich nicht mehr auf inhaltliche Wiederholung konzentrieren, sondern auf Literatur-Normalisierung, Fussnotenvalidierung und gegebenenfalls gezielte neue Dossiers zu noch offenen Einzelproblemen.</w:t>
      </w:r>
    </w:p>
    <w:p>
      <w:r>
        <w:br w:type="page"/>
      </w:r>
    </w:p>
    <w:p>
      <w:pPr>
        <w:pStyle w:val="Heading1"/>
      </w:pPr>
      <w:r>
        <w:t>Zitationsnormalisierung V1: Quellenebenen und Fussnotenapparat</w:t>
      </w:r>
    </w:p>
    <w:p>
      <w:r>
        <w:rPr>
          <w:rFonts w:ascii="Arial" w:hAnsi="Arial"/>
        </w:rPr>
        <w:t>Diese Stufe normalisiert den Fussnotenapparat nicht durch neue Sachbehauptungen, sondern durch eine einheitliche Kennzeichnung der Quellenebene. Jede der 110 echten Word-Fussnoten wird beim Erzeugen mit einem Quellenebenen-Tag versehen. Dadurch wird sichtbar, ob eine Aussage auf Primaertext, Textkritik, Epigraphik/Archaeologie, Ugarit-Vergleich, altorientalischem Vergleich, Forschung oder redaktioneller Methodik beruht.</w:t>
      </w:r>
    </w:p>
    <w:p>
      <w:pPr>
        <w:pStyle w:val="Heading2"/>
      </w:pPr>
      <w:r>
        <w:t>1. Quellenebenen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Quellenebene</w:t>
            </w:r>
          </w:p>
        </w:tc>
        <w:tc>
          <w:tcPr>
            <w:tcW w:type="dxa" w:w="3300"/>
            <w:vAlign w:val="top"/>
            <w:shd w:fill="F1F3F4"/>
          </w:tcPr>
          <w:p>
            <w:r/>
            <w:r>
              <w:rPr>
                <w:rFonts w:ascii="Arial" w:hAnsi="Arial"/>
                <w:b/>
                <w:sz w:val="16"/>
              </w:rPr>
              <w:t>Typische Belege</w:t>
            </w:r>
          </w:p>
        </w:tc>
        <w:tc>
          <w:tcPr>
            <w:tcW w:type="dxa" w:w="3300"/>
            <w:vAlign w:val="top"/>
            <w:shd w:fill="F1F3F4"/>
          </w:tcPr>
          <w:p>
            <w:r/>
            <w:r>
              <w:rPr>
                <w:rFonts w:ascii="Arial" w:hAnsi="Arial"/>
                <w:b/>
                <w:sz w:val="16"/>
              </w:rPr>
              <w:t>Funktion im Beweisgang</w:t>
            </w:r>
          </w:p>
        </w:tc>
      </w:tr>
      <w:tr>
        <w:tc>
          <w:tcPr>
            <w:tcW w:type="dxa" w:w="2400"/>
            <w:vAlign w:val="top"/>
          </w:tcPr>
          <w:p>
            <w:r/>
            <w:r>
              <w:rPr>
                <w:rFonts w:ascii="Arial" w:hAnsi="Arial"/>
                <w:b w:val="0"/>
                <w:sz w:val="16"/>
              </w:rPr>
              <w:t>Primaertext</w:t>
            </w:r>
          </w:p>
        </w:tc>
        <w:tc>
          <w:tcPr>
            <w:tcW w:type="dxa" w:w="3300"/>
            <w:vAlign w:val="top"/>
          </w:tcPr>
          <w:p>
            <w:r/>
            <w:r>
              <w:rPr>
                <w:rFonts w:ascii="Arial" w:hAnsi="Arial"/>
                <w:b w:val="0"/>
                <w:sz w:val="16"/>
              </w:rPr>
              <w:t>Biblische und fruehjuedische Texte wie Genesis, Exodus, Deuteronomium, Psalmen, 1 Koenige, Hiob, 1 Henoch, Jubilaeen oder DSS.</w:t>
            </w:r>
          </w:p>
        </w:tc>
        <w:tc>
          <w:tcPr>
            <w:tcW w:type="dxa" w:w="3300"/>
            <w:vAlign w:val="top"/>
          </w:tcPr>
          <w:p>
            <w:r/>
            <w:r>
              <w:rPr>
                <w:rFonts w:ascii="Arial" w:hAnsi="Arial"/>
                <w:b w:val="0"/>
                <w:sz w:val="16"/>
              </w:rPr>
              <w:t>Traegt Textbefund und direkte Textbeobachtung.</w:t>
            </w:r>
          </w:p>
        </w:tc>
      </w:tr>
      <w:tr>
        <w:tc>
          <w:tcPr>
            <w:tcW w:type="dxa" w:w="2400"/>
            <w:vAlign w:val="top"/>
          </w:tcPr>
          <w:p>
            <w:r/>
            <w:r>
              <w:rPr>
                <w:rFonts w:ascii="Arial" w:hAnsi="Arial"/>
                <w:b w:val="0"/>
                <w:sz w:val="16"/>
              </w:rPr>
              <w:t>Textkritik</w:t>
            </w:r>
          </w:p>
        </w:tc>
        <w:tc>
          <w:tcPr>
            <w:tcW w:type="dxa" w:w="3300"/>
            <w:vAlign w:val="top"/>
          </w:tcPr>
          <w:p>
            <w:r/>
            <w:r>
              <w:rPr>
                <w:rFonts w:ascii="Arial" w:hAnsi="Arial"/>
                <w:b w:val="0"/>
                <w:sz w:val="16"/>
              </w:rPr>
              <w:t>MT, 4QDeutj, LXX, Vulgata/Old Latin, Lesarten und lectio-difficilior-Fragen.</w:t>
            </w:r>
          </w:p>
        </w:tc>
        <w:tc>
          <w:tcPr>
            <w:tcW w:type="dxa" w:w="3300"/>
            <w:vAlign w:val="top"/>
          </w:tcPr>
          <w:p>
            <w:r/>
            <w:r>
              <w:rPr>
                <w:rFonts w:ascii="Arial" w:hAnsi="Arial"/>
                <w:b w:val="0"/>
                <w:sz w:val="16"/>
              </w:rPr>
              <w:t>Traegt Variantenentscheidungen, besonders zu Dtn 32,8-9.</w:t>
            </w:r>
          </w:p>
        </w:tc>
      </w:tr>
      <w:tr>
        <w:tc>
          <w:tcPr>
            <w:tcW w:type="dxa" w:w="2400"/>
            <w:vAlign w:val="top"/>
          </w:tcPr>
          <w:p>
            <w:r/>
            <w:r>
              <w:rPr>
                <w:rFonts w:ascii="Arial" w:hAnsi="Arial"/>
                <w:b w:val="0"/>
                <w:sz w:val="16"/>
              </w:rPr>
              <w:t>Epigraphik/Archaeologie</w:t>
            </w:r>
          </w:p>
        </w:tc>
        <w:tc>
          <w:tcPr>
            <w:tcW w:type="dxa" w:w="3300"/>
            <w:vAlign w:val="top"/>
          </w:tcPr>
          <w:p>
            <w:r/>
            <w:r>
              <w:rPr>
                <w:rFonts w:ascii="Arial" w:hAnsi="Arial"/>
                <w:b w:val="0"/>
                <w:sz w:val="16"/>
              </w:rPr>
              <w:t>Merenptah-Stele, Kuntillet Ajrud, Khirbet el-Qom, Inschriften- und Fundkontexte.</w:t>
            </w:r>
          </w:p>
        </w:tc>
        <w:tc>
          <w:tcPr>
            <w:tcW w:type="dxa" w:w="3300"/>
            <w:vAlign w:val="top"/>
          </w:tcPr>
          <w:p>
            <w:r/>
            <w:r>
              <w:rPr>
                <w:rFonts w:ascii="Arial" w:hAnsi="Arial"/>
                <w:b w:val="0"/>
                <w:sz w:val="16"/>
              </w:rPr>
              <w:t>Traegt historische Verortung und Volksreligionsbefunde.</w:t>
            </w:r>
          </w:p>
        </w:tc>
      </w:tr>
      <w:tr>
        <w:tc>
          <w:tcPr>
            <w:tcW w:type="dxa" w:w="2400"/>
            <w:vAlign w:val="top"/>
          </w:tcPr>
          <w:p>
            <w:r/>
            <w:r>
              <w:rPr>
                <w:rFonts w:ascii="Arial" w:hAnsi="Arial"/>
                <w:b w:val="0"/>
                <w:sz w:val="16"/>
              </w:rPr>
              <w:t>Ugarit/Traditionsvergleich</w:t>
            </w:r>
          </w:p>
        </w:tc>
        <w:tc>
          <w:tcPr>
            <w:tcW w:type="dxa" w:w="3300"/>
            <w:vAlign w:val="top"/>
          </w:tcPr>
          <w:p>
            <w:r/>
            <w:r>
              <w:rPr>
                <w:rFonts w:ascii="Arial" w:hAnsi="Arial"/>
                <w:b w:val="0"/>
                <w:sz w:val="16"/>
              </w:rPr>
              <w:t>Ras Schamra/Ugarit, Baal-Zyklus, El, Athirat, Baal/Hadad, Soehne Els.</w:t>
            </w:r>
          </w:p>
        </w:tc>
        <w:tc>
          <w:tcPr>
            <w:tcW w:type="dxa" w:w="3300"/>
            <w:vAlign w:val="top"/>
          </w:tcPr>
          <w:p>
            <w:r/>
            <w:r>
              <w:rPr>
                <w:rFonts w:ascii="Arial" w:hAnsi="Arial"/>
                <w:b w:val="0"/>
                <w:sz w:val="16"/>
              </w:rPr>
              <w:t>Traegt westsemitischen Vergleich, nicht direkte Israelidentitaet.</w:t>
            </w:r>
          </w:p>
        </w:tc>
      </w:tr>
      <w:tr>
        <w:tc>
          <w:tcPr>
            <w:tcW w:type="dxa" w:w="2400"/>
            <w:vAlign w:val="top"/>
          </w:tcPr>
          <w:p>
            <w:r/>
            <w:r>
              <w:rPr>
                <w:rFonts w:ascii="Arial" w:hAnsi="Arial"/>
                <w:b w:val="0"/>
                <w:sz w:val="16"/>
              </w:rPr>
              <w:t>Altorientalischer Vergleich</w:t>
            </w:r>
          </w:p>
        </w:tc>
        <w:tc>
          <w:tcPr>
            <w:tcW w:type="dxa" w:w="3300"/>
            <w:vAlign w:val="top"/>
          </w:tcPr>
          <w:p>
            <w:r/>
            <w:r>
              <w:rPr>
                <w:rFonts w:ascii="Arial" w:hAnsi="Arial"/>
                <w:b w:val="0"/>
                <w:sz w:val="16"/>
              </w:rPr>
              <w:t>ORACC, Anunna/Anunnaki, Enuma Elish, Marduk, Adad/Ishkur und mesopotamische Motivfelder.</w:t>
            </w:r>
          </w:p>
        </w:tc>
        <w:tc>
          <w:tcPr>
            <w:tcW w:type="dxa" w:w="3300"/>
            <w:vAlign w:val="top"/>
          </w:tcPr>
          <w:p>
            <w:r/>
            <w:r>
              <w:rPr>
                <w:rFonts w:ascii="Arial" w:hAnsi="Arial"/>
                <w:b w:val="0"/>
                <w:sz w:val="16"/>
              </w:rPr>
              <w:t>Traegt Vergleich und Einflussfrage, nicht direkte Gleichsetzung.</w:t>
            </w:r>
          </w:p>
        </w:tc>
      </w:tr>
      <w:tr>
        <w:tc>
          <w:tcPr>
            <w:tcW w:type="dxa" w:w="2400"/>
            <w:vAlign w:val="top"/>
          </w:tcPr>
          <w:p>
            <w:r/>
            <w:r>
              <w:rPr>
                <w:rFonts w:ascii="Arial" w:hAnsi="Arial"/>
                <w:b w:val="0"/>
                <w:sz w:val="16"/>
              </w:rPr>
              <w:t>Forschung</w:t>
            </w:r>
          </w:p>
        </w:tc>
        <w:tc>
          <w:tcPr>
            <w:tcW w:type="dxa" w:w="3300"/>
            <w:vAlign w:val="top"/>
          </w:tcPr>
          <w:p>
            <w:r/>
            <w:r>
              <w:rPr>
                <w:rFonts w:ascii="Arial" w:hAnsi="Arial"/>
                <w:b w:val="0"/>
                <w:sz w:val="16"/>
              </w:rPr>
              <w:t>Moderne Fachliteratur und spezialisierte Sekundaerforschung.</w:t>
            </w:r>
          </w:p>
        </w:tc>
        <w:tc>
          <w:tcPr>
            <w:tcW w:type="dxa" w:w="3300"/>
            <w:vAlign w:val="top"/>
          </w:tcPr>
          <w:p>
            <w:r/>
            <w:r>
              <w:rPr>
                <w:rFonts w:ascii="Arial" w:hAnsi="Arial"/>
                <w:b w:val="0"/>
                <w:sz w:val="16"/>
              </w:rPr>
              <w:t>Traegt Rekonstruktion, Streitstand und wissenschaftliche Bewertung.</w:t>
            </w:r>
          </w:p>
        </w:tc>
      </w:tr>
      <w:tr>
        <w:tc>
          <w:tcPr>
            <w:tcW w:type="dxa" w:w="2400"/>
            <w:vAlign w:val="top"/>
          </w:tcPr>
          <w:p>
            <w:r/>
            <w:r>
              <w:rPr>
                <w:rFonts w:ascii="Arial" w:hAnsi="Arial"/>
                <w:b w:val="0"/>
                <w:sz w:val="16"/>
              </w:rPr>
              <w:t>Methodik/Redaktion</w:t>
            </w:r>
          </w:p>
        </w:tc>
        <w:tc>
          <w:tcPr>
            <w:tcW w:type="dxa" w:w="3300"/>
            <w:vAlign w:val="top"/>
          </w:tcPr>
          <w:p>
            <w:r/>
            <w:r>
              <w:rPr>
                <w:rFonts w:ascii="Arial" w:hAnsi="Arial"/>
                <w:b w:val="0"/>
                <w:sz w:val="16"/>
              </w:rPr>
              <w:t>Kapitelstatus, Quellenhierarchie, Claim-Audit, Druckreife und Fussnotenregeln.</w:t>
            </w:r>
          </w:p>
        </w:tc>
        <w:tc>
          <w:tcPr>
            <w:tcW w:type="dxa" w:w="3300"/>
            <w:vAlign w:val="top"/>
          </w:tcPr>
          <w:p>
            <w:r/>
            <w:r>
              <w:rPr>
                <w:rFonts w:ascii="Arial" w:hAnsi="Arial"/>
                <w:b w:val="0"/>
                <w:sz w:val="16"/>
              </w:rPr>
              <w:t>Traegt Arbeitsform, nicht eigenstaendige historische Beweise.</w:t>
            </w:r>
          </w:p>
        </w:tc>
      </w:tr>
    </w:tbl>
    <w:p>
      <w:pPr>
        <w:pStyle w:val="Heading2"/>
      </w:pPr>
      <w:r>
        <w:t>2. Arbeitsregel fuer die Endfassung</w:t>
      </w:r>
    </w:p>
    <w:p>
      <w:pPr>
        <w:pStyle w:val="ListBullet"/>
      </w:pPr>
      <w:r>
        <w:rPr>
          <w:rFonts w:ascii="Arial" w:hAnsi="Arial"/>
        </w:rPr>
        <w:t>Eine Fussnote beweist nur die Aussage, die ihre Quellenebene tragen kann.</w:t>
      </w:r>
    </w:p>
    <w:p>
      <w:pPr>
        <w:pStyle w:val="ListBullet"/>
      </w:pPr>
      <w:r>
        <w:rPr>
          <w:rFonts w:ascii="Arial" w:hAnsi="Arial"/>
        </w:rPr>
        <w:t>Textkritische Fragen duerfen nicht durch allgemeine Forschungsliteratur ersetzt werden, wenn Varianten wie Dtn 32,8-9 betroffen sind.</w:t>
      </w:r>
    </w:p>
    <w:p>
      <w:pPr>
        <w:pStyle w:val="ListBullet"/>
      </w:pPr>
      <w:r>
        <w:rPr>
          <w:rFonts w:ascii="Arial" w:hAnsi="Arial"/>
        </w:rPr>
        <w:t>Ugarit und Mesopotamien bleiben Vergleichsraeume; sie werden erst dann Identitaetsbelege, wenn ein direkter Text-, Kult- oder Rezeptionsnachweis vorliegt.</w:t>
      </w:r>
    </w:p>
    <w:p>
      <w:pPr>
        <w:pStyle w:val="ListBullet"/>
      </w:pPr>
      <w:r>
        <w:rPr>
          <w:rFonts w:ascii="Arial" w:hAnsi="Arial"/>
        </w:rPr>
        <w:t>Arbeitsnotizen, YouTube-/PDF-Impulse und spekulative Modelle bleiben unterhalb der Fachliteratur und duerfen keine Hauptthese allein tragen.</w:t>
      </w:r>
    </w:p>
    <w:p>
      <w:pPr>
        <w:pStyle w:val="ListBullet"/>
      </w:pPr>
      <w:r>
        <w:rPr>
          <w:rFonts w:ascii="Arial" w:hAnsi="Arial"/>
        </w:rPr>
        <w:t>Die naechste Normalisierungsstufe muss die Kurzbelege in vollstaendige bibliographische Eintraege ueberfuehren.</w:t>
      </w:r>
    </w:p>
    <w:p>
      <w:pPr>
        <w:pStyle w:val="Heading2"/>
      </w:pPr>
      <w:r>
        <w:t>3. Status nach dieser Normalisierung</w:t>
      </w:r>
    </w:p>
    <w:p>
      <w:r>
        <w:rPr>
          <w:rFonts w:ascii="Arial" w:hAnsi="Arial"/>
        </w:rPr>
        <w:t>Der Fussnotenapparat ist nun als Quellenebenen-Apparat V1 nutzbar. Die bibliographische Normalisierung ist fuer diese Lesefassung angelegt: Autor, Titel, Erscheinungsort, Jahr, Seitenangabe, DOI/URL und Abrufdatum sind als Prueffelder sichtbar. Inhaltlich bleibt die bisherige Beleglogik erhalten; formal ist sichtbar, welche Belegart welche Aussage stuetzt.</w:t>
      </w:r>
    </w:p>
    <w:p>
      <w:r>
        <w:br w:type="page"/>
      </w:r>
    </w:p>
    <w:p>
      <w:pPr>
        <w:pStyle w:val="Heading1"/>
      </w:pPr>
      <w:r>
        <w:t>Bibliographische Normalisierung V1: Pilotregister</w:t>
      </w:r>
    </w:p>
    <w:p>
      <w:r>
        <w:rPr>
          <w:rFonts w:ascii="Arial" w:hAnsi="Arial"/>
        </w:rPr>
        <w:t>Dieses Pilotregister ueberfuehrt die Kurzbelege in bibliographische Eintraege der Druckfassung V1. Es legt den Zitierstandard fest: Autor, Titel, Reihe/Untertitel, Erscheinungsort, Verlag, Jahr und Status der Verifizierung muessen erkennbar sein.</w:t>
      </w:r>
    </w:p>
    <w:p>
      <w:pPr>
        <w:pStyle w:val="Heading2"/>
      </w:pPr>
      <w:r>
        <w:t>1. Normalisierte Kernwerke</w:t>
      </w:r>
    </w:p>
    <w:tbl>
      <w:tblPr>
        <w:tblStyle w:val="TableGrid"/>
        <w:tblW w:type="dxa" w:w="9000"/>
        <w:jc w:val="left"/>
        <w:tblLayout w:type="fixed"/>
        <w:tblLook w:firstColumn="1" w:firstRow="1" w:lastColumn="0" w:lastRow="0" w:noHBand="0" w:noVBand="1" w:val="04A0"/>
      </w:tblPr>
      <w:tblGrid>
        <w:gridCol w:w="2293"/>
        <w:gridCol w:w="2293"/>
        <w:gridCol w:w="2293"/>
        <w:gridCol w:w="2293"/>
      </w:tblGrid>
      <w:tr>
        <w:trPr>
          <w:tblHeader w:val="true"/>
        </w:trPr>
        <w:tc>
          <w:tcPr>
            <w:tcW w:type="dxa" w:w="1800"/>
            <w:vAlign w:val="top"/>
            <w:shd w:fill="F1F3F4"/>
          </w:tcPr>
          <w:p>
            <w:r/>
            <w:r>
              <w:rPr>
                <w:rFonts w:ascii="Arial" w:hAnsi="Arial"/>
                <w:b/>
                <w:sz w:val="16"/>
              </w:rPr>
              <w:t>Kurzbeleg</w:t>
            </w:r>
          </w:p>
        </w:tc>
        <w:tc>
          <w:tcPr>
            <w:tcW w:type="dxa" w:w="2500"/>
            <w:vAlign w:val="top"/>
            <w:shd w:fill="F1F3F4"/>
          </w:tcPr>
          <w:p>
            <w:r/>
            <w:r>
              <w:rPr>
                <w:rFonts w:ascii="Arial" w:hAnsi="Arial"/>
                <w:b/>
                <w:sz w:val="16"/>
              </w:rPr>
              <w:t>Normalisierter Vollbeleg</w:t>
            </w:r>
          </w:p>
        </w:tc>
        <w:tc>
          <w:tcPr>
            <w:tcW w:type="dxa" w:w="3200"/>
            <w:vAlign w:val="top"/>
            <w:shd w:fill="F1F3F4"/>
          </w:tcPr>
          <w:p>
            <w:r/>
            <w:r>
              <w:rPr>
                <w:rFonts w:ascii="Arial" w:hAnsi="Arial"/>
                <w:b/>
                <w:sz w:val="16"/>
              </w:rPr>
              <w:t>Funktion im Projekt</w:t>
            </w:r>
          </w:p>
        </w:tc>
        <w:tc>
          <w:tcPr>
            <w:tcW w:type="dxa" w:w="1500"/>
            <w:vAlign w:val="top"/>
            <w:shd w:fill="F1F3F4"/>
          </w:tcPr>
          <w:p>
            <w:r/>
            <w:r>
              <w:rPr>
                <w:rFonts w:ascii="Arial" w:hAnsi="Arial"/>
                <w:b/>
                <w:sz w:val="16"/>
              </w:rPr>
              <w:t>Status</w:t>
            </w:r>
          </w:p>
        </w:tc>
      </w:tr>
      <w:tr>
        <w:tc>
          <w:tcPr>
            <w:tcW w:type="dxa" w:w="1800"/>
            <w:vAlign w:val="top"/>
          </w:tcPr>
          <w:p>
            <w:r/>
            <w:r>
              <w:rPr>
                <w:rFonts w:ascii="Arial" w:hAnsi="Arial"/>
                <w:b w:val="0"/>
                <w:sz w:val="16"/>
              </w:rPr>
              <w:t>Smith 2002</w:t>
            </w:r>
          </w:p>
        </w:tc>
        <w:tc>
          <w:tcPr>
            <w:tcW w:type="dxa" w:w="2500"/>
            <w:vAlign w:val="top"/>
          </w:tcPr>
          <w:p>
            <w:r/>
            <w:r>
              <w:rPr>
                <w:rFonts w:ascii="Arial" w:hAnsi="Arial"/>
                <w:b w:val="0"/>
                <w:sz w:val="16"/>
              </w:rPr>
              <w:t>Smith, Mark S. The Early History of God: Yahweh and the Other Deities in Ancient Israel. 2. Aufl. Grand Rapids, MI: William B. Eerdmans, 2002.</w:t>
            </w:r>
          </w:p>
        </w:tc>
        <w:tc>
          <w:tcPr>
            <w:tcW w:type="dxa" w:w="3200"/>
            <w:vAlign w:val="top"/>
          </w:tcPr>
          <w:p>
            <w:r/>
            <w:r>
              <w:rPr>
                <w:rFonts w:ascii="Arial" w:hAnsi="Arial"/>
                <w:b w:val="0"/>
                <w:sz w:val="16"/>
              </w:rPr>
              <w:t>JHWH/El, israelitische Religionsgeschichte, Monotheismusentwicklung.</w:t>
            </w:r>
          </w:p>
        </w:tc>
        <w:tc>
          <w:tcPr>
            <w:tcW w:type="dxa" w:w="1500"/>
            <w:vAlign w:val="top"/>
          </w:tcPr>
          <w:p>
            <w:r/>
            <w:r>
              <w:rPr>
                <w:rFonts w:ascii="Arial" w:hAnsi="Arial"/>
                <w:b w:val="0"/>
                <w:sz w:val="16"/>
              </w:rPr>
              <w:t>Verifiziert ueber Verlag/Katalog.</w:t>
            </w:r>
          </w:p>
        </w:tc>
      </w:tr>
      <w:tr>
        <w:tc>
          <w:tcPr>
            <w:tcW w:type="dxa" w:w="1800"/>
            <w:vAlign w:val="top"/>
          </w:tcPr>
          <w:p>
            <w:r/>
            <w:r>
              <w:rPr>
                <w:rFonts w:ascii="Arial" w:hAnsi="Arial"/>
                <w:b w:val="0"/>
                <w:sz w:val="16"/>
              </w:rPr>
              <w:t>Smith/Pitard 1994</w:t>
            </w:r>
          </w:p>
        </w:tc>
        <w:tc>
          <w:tcPr>
            <w:tcW w:type="dxa" w:w="2500"/>
            <w:vAlign w:val="top"/>
          </w:tcPr>
          <w:p>
            <w:r/>
            <w:r>
              <w:rPr>
                <w:rFonts w:ascii="Arial" w:hAnsi="Arial"/>
                <w:b w:val="0"/>
                <w:sz w:val="16"/>
              </w:rPr>
              <w:t>Smith, Mark S. The Ugaritic Baal Cycle. Vol. 1: Introduction with Text, Translation and Commentary of KTU 1.1-1.2. Supplements to Vetus Testamentum 55. Leiden: Brill, 1994.</w:t>
            </w:r>
          </w:p>
        </w:tc>
        <w:tc>
          <w:tcPr>
            <w:tcW w:type="dxa" w:w="3200"/>
            <w:vAlign w:val="top"/>
          </w:tcPr>
          <w:p>
            <w:r/>
            <w:r>
              <w:rPr>
                <w:rFonts w:ascii="Arial" w:hAnsi="Arial"/>
                <w:b w:val="0"/>
                <w:sz w:val="16"/>
              </w:rPr>
              <w:t>Baal-Zyklus, Ugarit, westsemitischer Vergleich.</w:t>
            </w:r>
          </w:p>
        </w:tc>
        <w:tc>
          <w:tcPr>
            <w:tcW w:type="dxa" w:w="1500"/>
            <w:vAlign w:val="top"/>
          </w:tcPr>
          <w:p>
            <w:r/>
            <w:r>
              <w:rPr>
                <w:rFonts w:ascii="Arial" w:hAnsi="Arial"/>
                <w:b w:val="0"/>
                <w:sz w:val="16"/>
              </w:rPr>
              <w:t>Verifiziert ueber Buch-/Verlagsnachweis.</w:t>
            </w:r>
          </w:p>
        </w:tc>
      </w:tr>
      <w:tr>
        <w:tc>
          <w:tcPr>
            <w:tcW w:type="dxa" w:w="1800"/>
            <w:vAlign w:val="top"/>
          </w:tcPr>
          <w:p>
            <w:r/>
            <w:r>
              <w:rPr>
                <w:rFonts w:ascii="Arial" w:hAnsi="Arial"/>
                <w:b w:val="0"/>
                <w:sz w:val="16"/>
              </w:rPr>
              <w:t>Smith/Pitard 2009</w:t>
            </w:r>
          </w:p>
        </w:tc>
        <w:tc>
          <w:tcPr>
            <w:tcW w:type="dxa" w:w="2500"/>
            <w:vAlign w:val="top"/>
          </w:tcPr>
          <w:p>
            <w:r/>
            <w:r>
              <w:rPr>
                <w:rFonts w:ascii="Arial" w:hAnsi="Arial"/>
                <w:b w:val="0"/>
                <w:sz w:val="16"/>
              </w:rPr>
              <w:t>Smith, Mark S., und Wayne T. Pitard. The Ugaritic Baal Cycle. Vol. 2: Introduction with Text, Translation and Commentary of KTU/CAT 1.3-1.4. Leiden/Boston: Brill, 2009.</w:t>
            </w:r>
          </w:p>
        </w:tc>
        <w:tc>
          <w:tcPr>
            <w:tcW w:type="dxa" w:w="3200"/>
            <w:vAlign w:val="top"/>
          </w:tcPr>
          <w:p>
            <w:r/>
            <w:r>
              <w:rPr>
                <w:rFonts w:ascii="Arial" w:hAnsi="Arial"/>
                <w:b w:val="0"/>
                <w:sz w:val="16"/>
              </w:rPr>
              <w:t>Baal-Palast, El/Baal-Kontext, Ugarit.</w:t>
            </w:r>
          </w:p>
        </w:tc>
        <w:tc>
          <w:tcPr>
            <w:tcW w:type="dxa" w:w="1500"/>
            <w:vAlign w:val="top"/>
          </w:tcPr>
          <w:p>
            <w:r/>
            <w:r>
              <w:rPr>
                <w:rFonts w:ascii="Arial" w:hAnsi="Arial"/>
                <w:b w:val="0"/>
                <w:sz w:val="16"/>
              </w:rPr>
              <w:t>Verifiziert ueber Brill.</w:t>
            </w:r>
          </w:p>
        </w:tc>
      </w:tr>
      <w:tr>
        <w:tc>
          <w:tcPr>
            <w:tcW w:type="dxa" w:w="1800"/>
            <w:vAlign w:val="top"/>
          </w:tcPr>
          <w:p>
            <w:r/>
            <w:r>
              <w:rPr>
                <w:rFonts w:ascii="Arial" w:hAnsi="Arial"/>
                <w:b w:val="0"/>
                <w:sz w:val="16"/>
              </w:rPr>
              <w:t>Tov 2012</w:t>
            </w:r>
          </w:p>
        </w:tc>
        <w:tc>
          <w:tcPr>
            <w:tcW w:type="dxa" w:w="2500"/>
            <w:vAlign w:val="top"/>
          </w:tcPr>
          <w:p>
            <w:r/>
            <w:r>
              <w:rPr>
                <w:rFonts w:ascii="Arial" w:hAnsi="Arial"/>
                <w:b w:val="0"/>
                <w:sz w:val="16"/>
              </w:rPr>
              <w:t>Tov, Emanuel. Textual Criticism of the Hebrew Bible. 3., rev. und erw. Aufl. Minneapolis, MN: Fortress Press, 2012.</w:t>
            </w:r>
          </w:p>
        </w:tc>
        <w:tc>
          <w:tcPr>
            <w:tcW w:type="dxa" w:w="3200"/>
            <w:vAlign w:val="top"/>
          </w:tcPr>
          <w:p>
            <w:r/>
            <w:r>
              <w:rPr>
                <w:rFonts w:ascii="Arial" w:hAnsi="Arial"/>
                <w:b w:val="0"/>
                <w:sz w:val="16"/>
              </w:rPr>
              <w:t>Textkritik, Dtn 32,8-9, MT/LXX/DSS.</w:t>
            </w:r>
          </w:p>
        </w:tc>
        <w:tc>
          <w:tcPr>
            <w:tcW w:type="dxa" w:w="1500"/>
            <w:vAlign w:val="top"/>
          </w:tcPr>
          <w:p>
            <w:r/>
            <w:r>
              <w:rPr>
                <w:rFonts w:ascii="Arial" w:hAnsi="Arial"/>
                <w:b w:val="0"/>
                <w:sz w:val="16"/>
              </w:rPr>
              <w:t>Verifiziert ueber Universitaets-/Verlagsdatensatz.</w:t>
            </w:r>
          </w:p>
        </w:tc>
      </w:tr>
      <w:tr>
        <w:tc>
          <w:tcPr>
            <w:tcW w:type="dxa" w:w="1800"/>
            <w:vAlign w:val="top"/>
          </w:tcPr>
          <w:p>
            <w:r/>
            <w:r>
              <w:rPr>
                <w:rFonts w:ascii="Arial" w:hAnsi="Arial"/>
                <w:b w:val="0"/>
                <w:sz w:val="16"/>
              </w:rPr>
              <w:t>Hadley 2000</w:t>
            </w:r>
          </w:p>
        </w:tc>
        <w:tc>
          <w:tcPr>
            <w:tcW w:type="dxa" w:w="2500"/>
            <w:vAlign w:val="top"/>
          </w:tcPr>
          <w:p>
            <w:r/>
            <w:r>
              <w:rPr>
                <w:rFonts w:ascii="Arial" w:hAnsi="Arial"/>
                <w:b w:val="0"/>
                <w:sz w:val="16"/>
              </w:rPr>
              <w:t>Hadley, Judith M. The Cult of Asherah in Ancient Israel and Judah: Evidence for a Hebrew Goddess. University of Cambridge Oriental Publications 57. Cambridge: Cambridge University Press, 2000.</w:t>
            </w:r>
          </w:p>
        </w:tc>
        <w:tc>
          <w:tcPr>
            <w:tcW w:type="dxa" w:w="3200"/>
            <w:vAlign w:val="top"/>
          </w:tcPr>
          <w:p>
            <w:r/>
            <w:r>
              <w:rPr>
                <w:rFonts w:ascii="Arial" w:hAnsi="Arial"/>
                <w:b w:val="0"/>
                <w:sz w:val="16"/>
              </w:rPr>
              <w:t>Aschera, Kuntillet Ajrud, Khirbet el-Qom.</w:t>
            </w:r>
          </w:p>
        </w:tc>
        <w:tc>
          <w:tcPr>
            <w:tcW w:type="dxa" w:w="1500"/>
            <w:vAlign w:val="top"/>
          </w:tcPr>
          <w:p>
            <w:r/>
            <w:r>
              <w:rPr>
                <w:rFonts w:ascii="Arial" w:hAnsi="Arial"/>
                <w:b w:val="0"/>
                <w:sz w:val="16"/>
              </w:rPr>
              <w:t>Verifiziert ueber CUP/WorldCat/Journals.</w:t>
            </w:r>
          </w:p>
        </w:tc>
      </w:tr>
      <w:tr>
        <w:tc>
          <w:tcPr>
            <w:tcW w:type="dxa" w:w="1800"/>
            <w:vAlign w:val="top"/>
          </w:tcPr>
          <w:p>
            <w:r/>
            <w:r>
              <w:rPr>
                <w:rFonts w:ascii="Arial" w:hAnsi="Arial"/>
                <w:b w:val="0"/>
                <w:sz w:val="16"/>
              </w:rPr>
              <w:t>Zevit 2001</w:t>
            </w:r>
          </w:p>
        </w:tc>
        <w:tc>
          <w:tcPr>
            <w:tcW w:type="dxa" w:w="2500"/>
            <w:vAlign w:val="top"/>
          </w:tcPr>
          <w:p>
            <w:r/>
            <w:r>
              <w:rPr>
                <w:rFonts w:ascii="Arial" w:hAnsi="Arial"/>
                <w:b w:val="0"/>
                <w:sz w:val="16"/>
              </w:rPr>
              <w:t>Zevit, Ziony. The Religions of Ancient Israel: A Synthesis of Parallactic Approaches. London/New York: Continuum, 2001.</w:t>
            </w:r>
          </w:p>
        </w:tc>
        <w:tc>
          <w:tcPr>
            <w:tcW w:type="dxa" w:w="3200"/>
            <w:vAlign w:val="top"/>
          </w:tcPr>
          <w:p>
            <w:r/>
            <w:r>
              <w:rPr>
                <w:rFonts w:ascii="Arial" w:hAnsi="Arial"/>
                <w:b w:val="0"/>
                <w:sz w:val="16"/>
              </w:rPr>
              <w:t>Israelitische Religion, Archaeologie/Text-Synthese.</w:t>
            </w:r>
          </w:p>
        </w:tc>
        <w:tc>
          <w:tcPr>
            <w:tcW w:type="dxa" w:w="1500"/>
            <w:vAlign w:val="top"/>
          </w:tcPr>
          <w:p>
            <w:r/>
            <w:r>
              <w:rPr>
                <w:rFonts w:ascii="Arial" w:hAnsi="Arial"/>
                <w:b w:val="0"/>
                <w:sz w:val="16"/>
              </w:rPr>
              <w:t>Verifiziert ueber Katalog/Rezensionsnachweis.</w:t>
            </w:r>
          </w:p>
        </w:tc>
      </w:tr>
      <w:tr>
        <w:tc>
          <w:tcPr>
            <w:tcW w:type="dxa" w:w="1800"/>
            <w:vAlign w:val="top"/>
          </w:tcPr>
          <w:p>
            <w:r/>
            <w:r>
              <w:rPr>
                <w:rFonts w:ascii="Arial" w:hAnsi="Arial"/>
                <w:b w:val="0"/>
                <w:sz w:val="16"/>
              </w:rPr>
              <w:t>Ackerman 1992</w:t>
            </w:r>
          </w:p>
        </w:tc>
        <w:tc>
          <w:tcPr>
            <w:tcW w:type="dxa" w:w="2500"/>
            <w:vAlign w:val="top"/>
          </w:tcPr>
          <w:p>
            <w:r/>
            <w:r>
              <w:rPr>
                <w:rFonts w:ascii="Arial" w:hAnsi="Arial"/>
                <w:b w:val="0"/>
                <w:sz w:val="16"/>
              </w:rPr>
              <w:t>Ackerman, Susan. Under Every Green Tree: Popular Religion in Sixth-Century Judah. Harvard Semitic Monographs 46. Atlanta, GA: Scholars Press, 1992.</w:t>
            </w:r>
          </w:p>
        </w:tc>
        <w:tc>
          <w:tcPr>
            <w:tcW w:type="dxa" w:w="3200"/>
            <w:vAlign w:val="top"/>
          </w:tcPr>
          <w:p>
            <w:r/>
            <w:r>
              <w:rPr>
                <w:rFonts w:ascii="Arial" w:hAnsi="Arial"/>
                <w:b w:val="0"/>
                <w:sz w:val="16"/>
              </w:rPr>
              <w:t>Volksreligion, Juda, prophetische Polemik.</w:t>
            </w:r>
          </w:p>
        </w:tc>
        <w:tc>
          <w:tcPr>
            <w:tcW w:type="dxa" w:w="1500"/>
            <w:vAlign w:val="top"/>
          </w:tcPr>
          <w:p>
            <w:r/>
            <w:r>
              <w:rPr>
                <w:rFonts w:ascii="Arial" w:hAnsi="Arial"/>
                <w:b w:val="0"/>
                <w:sz w:val="16"/>
              </w:rPr>
              <w:t>Verifiziert ueber Harvard/Google Books/WorldCat.</w:t>
            </w:r>
          </w:p>
        </w:tc>
      </w:tr>
    </w:tbl>
    <w:p>
      <w:pPr>
        <w:pStyle w:val="Heading2"/>
      </w:pPr>
      <w:r>
        <w:t>2. Zitierregel der Druckfassung V1</w:t>
      </w:r>
    </w:p>
    <w:p>
      <w:pPr>
        <w:pStyle w:val="ListBullet"/>
      </w:pPr>
      <w:r>
        <w:rPr>
          <w:rFonts w:ascii="Arial" w:hAnsi="Arial"/>
        </w:rPr>
        <w:t>Bei erster Nennung im Fussnotenapparat wird kuenftig ein Vollbeleg verwendet; spaetere Nennungen nutzen Kurzbeleg mit Autor, Kurztitel und ggf. Seite.</w:t>
      </w:r>
    </w:p>
    <w:p>
      <w:pPr>
        <w:pStyle w:val="ListBullet"/>
      </w:pPr>
      <w:r>
        <w:rPr>
          <w:rFonts w:ascii="Arial" w:hAnsi="Arial"/>
        </w:rPr>
        <w:t>Bibelstellen und antike Primaertexte werden nicht im Literaturverzeichnis ersetzt, sondern im Fussnotenapparat mit Textfassung/Edition angegeben.</w:t>
      </w:r>
    </w:p>
    <w:p>
      <w:pPr>
        <w:pStyle w:val="ListBullet"/>
      </w:pPr>
      <w:r>
        <w:rPr>
          <w:rFonts w:ascii="Arial" w:hAnsi="Arial"/>
        </w:rPr>
        <w:t>Onlinequellen wie ORACC, Intertextual.Bible oder Verlags-/Katalogseiten erhalten URL und Abrufdatum, sobald sie als Beleg und nicht nur als Arbeitskontrolle dienen.</w:t>
      </w:r>
    </w:p>
    <w:p>
      <w:pPr>
        <w:pStyle w:val="ListBullet"/>
      </w:pPr>
      <w:r>
        <w:rPr>
          <w:rFonts w:ascii="Arial" w:hAnsi="Arial"/>
        </w:rPr>
        <w:t>Noch nicht verifizierte Kurzbelege bleiben in der Fussnote erkennbar, werden aber vor einer Druckfassung entweder voll belegt oder aus dem Hauptbeweis entfernt.</w:t>
      </w:r>
    </w:p>
    <w:p>
      <w:pPr>
        <w:pStyle w:val="Heading2"/>
      </w:pPr>
      <w:r>
        <w:t>3. Offene Normalisierungsfelder</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Feld</w:t>
            </w:r>
          </w:p>
        </w:tc>
        <w:tc>
          <w:tcPr>
            <w:tcW w:type="dxa" w:w="3300"/>
            <w:vAlign w:val="top"/>
            <w:shd w:fill="F1F3F4"/>
          </w:tcPr>
          <w:p>
            <w:r/>
            <w:r>
              <w:rPr>
                <w:rFonts w:ascii="Arial" w:hAnsi="Arial"/>
                <w:b/>
                <w:sz w:val="16"/>
              </w:rPr>
              <w:t>Aktueller Stand</w:t>
            </w:r>
          </w:p>
        </w:tc>
        <w:tc>
          <w:tcPr>
            <w:tcW w:type="dxa" w:w="3300"/>
            <w:vAlign w:val="top"/>
            <w:shd w:fill="F1F3F4"/>
          </w:tcPr>
          <w:p>
            <w:r/>
            <w:r>
              <w:rPr>
                <w:rFonts w:ascii="Arial" w:hAnsi="Arial"/>
                <w:b/>
                <w:sz w:val="16"/>
              </w:rPr>
              <w:t>Naechste Aktion</w:t>
            </w:r>
          </w:p>
        </w:tc>
      </w:tr>
      <w:tr>
        <w:tc>
          <w:tcPr>
            <w:tcW w:type="dxa" w:w="2400"/>
            <w:vAlign w:val="top"/>
          </w:tcPr>
          <w:p>
            <w:r/>
            <w:r>
              <w:rPr>
                <w:rFonts w:ascii="Arial" w:hAnsi="Arial"/>
                <w:b w:val="0"/>
                <w:sz w:val="16"/>
              </w:rPr>
              <w:t>Seitenangaben</w:t>
            </w:r>
          </w:p>
        </w:tc>
        <w:tc>
          <w:tcPr>
            <w:tcW w:type="dxa" w:w="3300"/>
            <w:vAlign w:val="top"/>
          </w:tcPr>
          <w:p>
            <w:r/>
            <w:r>
              <w:rPr>
                <w:rFonts w:ascii="Arial" w:hAnsi="Arial"/>
                <w:b w:val="0"/>
                <w:sz w:val="16"/>
              </w:rPr>
              <w:t>In vielen Fussnoten fehlen noch konkrete Seiten/Abschnitte.</w:t>
            </w:r>
          </w:p>
        </w:tc>
        <w:tc>
          <w:tcPr>
            <w:tcW w:type="dxa" w:w="3300"/>
            <w:vAlign w:val="top"/>
          </w:tcPr>
          <w:p>
            <w:r/>
            <w:r>
              <w:rPr>
                <w:rFonts w:ascii="Arial" w:hAnsi="Arial"/>
                <w:b w:val="0"/>
                <w:sz w:val="16"/>
              </w:rPr>
              <w:t>Bei Endredaktion pro Aussage nachtragen.</w:t>
            </w:r>
          </w:p>
        </w:tc>
      </w:tr>
      <w:tr>
        <w:tc>
          <w:tcPr>
            <w:tcW w:type="dxa" w:w="2400"/>
            <w:vAlign w:val="top"/>
          </w:tcPr>
          <w:p>
            <w:r/>
            <w:r>
              <w:rPr>
                <w:rFonts w:ascii="Arial" w:hAnsi="Arial"/>
                <w:b w:val="0"/>
                <w:sz w:val="16"/>
              </w:rPr>
              <w:t>Onlinequellen</w:t>
            </w:r>
          </w:p>
        </w:tc>
        <w:tc>
          <w:tcPr>
            <w:tcW w:type="dxa" w:w="3300"/>
            <w:vAlign w:val="top"/>
          </w:tcPr>
          <w:p>
            <w:r/>
            <w:r>
              <w:rPr>
                <w:rFonts w:ascii="Arial" w:hAnsi="Arial"/>
                <w:b w:val="0"/>
                <w:sz w:val="16"/>
              </w:rPr>
              <w:t>ORACC, BAS, TheTorah, Intertextual.Bible und Lexham/Onlineartikel sind noch uneinheitlich.</w:t>
            </w:r>
          </w:p>
        </w:tc>
        <w:tc>
          <w:tcPr>
            <w:tcW w:type="dxa" w:w="3300"/>
            <w:vAlign w:val="top"/>
          </w:tcPr>
          <w:p>
            <w:r/>
            <w:r>
              <w:rPr>
                <w:rFonts w:ascii="Arial" w:hAnsi="Arial"/>
                <w:b w:val="0"/>
                <w:sz w:val="16"/>
              </w:rPr>
              <w:t>URL, Autor, Titel, Publikationsdatum und Abrufdatum erfassen.</w:t>
            </w:r>
          </w:p>
        </w:tc>
      </w:tr>
      <w:tr>
        <w:tc>
          <w:tcPr>
            <w:tcW w:type="dxa" w:w="2400"/>
            <w:vAlign w:val="top"/>
          </w:tcPr>
          <w:p>
            <w:r/>
            <w:r>
              <w:rPr>
                <w:rFonts w:ascii="Arial" w:hAnsi="Arial"/>
                <w:b w:val="0"/>
                <w:sz w:val="16"/>
              </w:rPr>
              <w:t>Artikel und Aufsaetze</w:t>
            </w:r>
          </w:p>
        </w:tc>
        <w:tc>
          <w:tcPr>
            <w:tcW w:type="dxa" w:w="3300"/>
            <w:vAlign w:val="top"/>
          </w:tcPr>
          <w:p>
            <w:r/>
            <w:r>
              <w:rPr>
                <w:rFonts w:ascii="Arial" w:hAnsi="Arial"/>
                <w:b w:val="0"/>
                <w:sz w:val="16"/>
              </w:rPr>
              <w:t>Stahl, Toyraanvuori, Andresen, Thompson, McClellan, Reed, Firestone u.a. muessen einzeln vollbibliographisch erfasst werden.</w:t>
            </w:r>
          </w:p>
        </w:tc>
        <w:tc>
          <w:tcPr>
            <w:tcW w:type="dxa" w:w="3300"/>
            <w:vAlign w:val="top"/>
          </w:tcPr>
          <w:p>
            <w:r/>
            <w:r>
              <w:rPr>
                <w:rFonts w:ascii="Arial" w:hAnsi="Arial"/>
                <w:b w:val="0"/>
                <w:sz w:val="16"/>
              </w:rPr>
              <w:t>Naechster Bibliographieblock.</w:t>
            </w:r>
          </w:p>
        </w:tc>
      </w:tr>
      <w:tr>
        <w:tc>
          <w:tcPr>
            <w:tcW w:type="dxa" w:w="2400"/>
            <w:vAlign w:val="top"/>
          </w:tcPr>
          <w:p>
            <w:r/>
            <w:r>
              <w:rPr>
                <w:rFonts w:ascii="Arial" w:hAnsi="Arial"/>
                <w:b w:val="0"/>
                <w:sz w:val="16"/>
              </w:rPr>
              <w:t>Arbeitsmaterial</w:t>
            </w:r>
          </w:p>
        </w:tc>
        <w:tc>
          <w:tcPr>
            <w:tcW w:type="dxa" w:w="3300"/>
            <w:vAlign w:val="top"/>
          </w:tcPr>
          <w:p>
            <w:r/>
            <w:r>
              <w:rPr>
                <w:rFonts w:ascii="Arial" w:hAnsi="Arial"/>
                <w:b w:val="0"/>
                <w:sz w:val="16"/>
              </w:rPr>
              <w:t>Eigene Anlagen, Mitschriften und lokale Dossiers sind keine Fachliteratur.</w:t>
            </w:r>
          </w:p>
        </w:tc>
        <w:tc>
          <w:tcPr>
            <w:tcW w:type="dxa" w:w="3300"/>
            <w:vAlign w:val="top"/>
          </w:tcPr>
          <w:p>
            <w:r/>
            <w:r>
              <w:rPr>
                <w:rFonts w:ascii="Arial" w:hAnsi="Arial"/>
                <w:b w:val="0"/>
                <w:sz w:val="16"/>
              </w:rPr>
              <w:t>Als Arbeitsmaterial separat nachweisen.</w:t>
            </w:r>
          </w:p>
        </w:tc>
      </w:tr>
    </w:tbl>
    <w:p>
      <w:r>
        <w:br w:type="page"/>
      </w:r>
    </w:p>
    <w:p>
      <w:pPr>
        <w:pStyle w:val="Heading1"/>
      </w:pPr>
      <w:r>
        <w:t>Bibliographische Normalisierung V1.2: Aufsaetze und Onlinequellen</w:t>
      </w:r>
    </w:p>
    <w:p>
      <w:r>
        <w:rPr>
          <w:rFonts w:ascii="Arial" w:hAnsi="Arial"/>
        </w:rPr>
        <w:t>Dieser zweite Bibliographieblock normalisiert die wichtigsten Aufsatz- und Onlinebelege, die den Fussnotenapparat bisher nur als Kurzbelege stuetzen. Er ist als Arbeits- und Druckregister V1 zu lesen: Verifizierte Kerndaten werden festgehalten; punktgenaue Zuordnungen einzelner Fussnoten zu konkreten Seiten koennen in einer spaeteren akademischen Detailfassung weiter verdichtet werden.</w:t>
      </w:r>
    </w:p>
    <w:p>
      <w:pPr>
        <w:pStyle w:val="Heading2"/>
      </w:pPr>
      <w:r>
        <w:t>1. Aufsaetze, Spezialstudien und Forschungsliteratur</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Kurzbeleg</w:t>
            </w:r>
          </w:p>
        </w:tc>
        <w:tc>
          <w:tcPr>
            <w:tcW w:type="dxa" w:w="3300"/>
            <w:vAlign w:val="top"/>
            <w:shd w:fill="F1F3F4"/>
          </w:tcPr>
          <w:p>
            <w:r/>
            <w:r>
              <w:rPr>
                <w:rFonts w:ascii="Arial" w:hAnsi="Arial"/>
                <w:b/>
                <w:sz w:val="16"/>
              </w:rPr>
              <w:t>Normalisierter Beleg</w:t>
            </w:r>
          </w:p>
        </w:tc>
        <w:tc>
          <w:tcPr>
            <w:tcW w:type="dxa" w:w="3300"/>
            <w:vAlign w:val="top"/>
            <w:shd w:fill="F1F3F4"/>
          </w:tcPr>
          <w:p>
            <w:r/>
            <w:r>
              <w:rPr>
                <w:rFonts w:ascii="Arial" w:hAnsi="Arial"/>
                <w:b/>
                <w:sz w:val="16"/>
              </w:rPr>
              <w:t>Funktion / Status</w:t>
            </w:r>
          </w:p>
        </w:tc>
      </w:tr>
      <w:tr>
        <w:tc>
          <w:tcPr>
            <w:tcW w:type="dxa" w:w="2400"/>
            <w:vAlign w:val="top"/>
          </w:tcPr>
          <w:p>
            <w:r/>
            <w:r>
              <w:rPr>
                <w:rFonts w:ascii="Arial" w:hAnsi="Arial"/>
                <w:b w:val="0"/>
                <w:sz w:val="16"/>
              </w:rPr>
              <w:t>Stahl 2021</w:t>
            </w:r>
          </w:p>
        </w:tc>
        <w:tc>
          <w:tcPr>
            <w:tcW w:type="dxa" w:w="3300"/>
            <w:vAlign w:val="top"/>
          </w:tcPr>
          <w:p>
            <w:r/>
            <w:r>
              <w:rPr>
                <w:rFonts w:ascii="Arial" w:hAnsi="Arial"/>
                <w:b w:val="0"/>
                <w:sz w:val="16"/>
              </w:rPr>
              <w:t>Stahl, Michael J. "God's Best 'Frenemy': A New Perspective on YHWH and Baal in Ancient Israel and Judah." Semitica 63 (2021): 45-94. DOI: 10.2143/SE.63.0.3289896.</w:t>
            </w:r>
          </w:p>
        </w:tc>
        <w:tc>
          <w:tcPr>
            <w:tcW w:type="dxa" w:w="3300"/>
            <w:vAlign w:val="top"/>
          </w:tcPr>
          <w:p>
            <w:r/>
            <w:r>
              <w:rPr>
                <w:rFonts w:ascii="Arial" w:hAnsi="Arial"/>
                <w:b w:val="0"/>
                <w:sz w:val="16"/>
              </w:rPr>
              <w:t>JHWH/Baal, Nordreich, Omriden, Baal-Sprache und Baal-Ikonographie als Modellfeld fuer Funktionsuebernahme. Verifiziert ueber Peeters/RelBib/BAS.</w:t>
            </w:r>
          </w:p>
        </w:tc>
      </w:tr>
      <w:tr>
        <w:tc>
          <w:tcPr>
            <w:tcW w:type="dxa" w:w="2400"/>
            <w:vAlign w:val="top"/>
          </w:tcPr>
          <w:p>
            <w:r/>
            <w:r>
              <w:rPr>
                <w:rFonts w:ascii="Arial" w:hAnsi="Arial"/>
                <w:b w:val="0"/>
                <w:sz w:val="16"/>
              </w:rPr>
              <w:t>Stahl 2023</w:t>
            </w:r>
          </w:p>
        </w:tc>
        <w:tc>
          <w:tcPr>
            <w:tcW w:type="dxa" w:w="3300"/>
            <w:vAlign w:val="top"/>
          </w:tcPr>
          <w:p>
            <w:r/>
            <w:r>
              <w:rPr>
                <w:rFonts w:ascii="Arial" w:hAnsi="Arial"/>
                <w:b w:val="0"/>
                <w:sz w:val="16"/>
              </w:rPr>
              <w:t>Stahl, Michael J. "Yahweh or Baal--Who Was the God of Northern Israel?" Biblical Archaeology Review 49/3 (Fall 2023): 42-48.</w:t>
            </w:r>
          </w:p>
        </w:tc>
        <w:tc>
          <w:tcPr>
            <w:tcW w:type="dxa" w:w="3300"/>
            <w:vAlign w:val="top"/>
          </w:tcPr>
          <w:p>
            <w:r/>
            <w:r>
              <w:rPr>
                <w:rFonts w:ascii="Arial" w:hAnsi="Arial"/>
                <w:b w:val="0"/>
                <w:sz w:val="16"/>
              </w:rPr>
              <w:t>Fachnaher BAS-Transferartikel zu Stahl 2021; als popularisierte Forschungsbruecke, nicht als Primarbeleg fuehren.</w:t>
            </w:r>
          </w:p>
        </w:tc>
      </w:tr>
      <w:tr>
        <w:tc>
          <w:tcPr>
            <w:tcW w:type="dxa" w:w="2400"/>
            <w:vAlign w:val="top"/>
          </w:tcPr>
          <w:p>
            <w:r/>
            <w:r>
              <w:rPr>
                <w:rFonts w:ascii="Arial" w:hAnsi="Arial"/>
                <w:b w:val="0"/>
                <w:sz w:val="16"/>
              </w:rPr>
              <w:t>Toyraanvuori 2020</w:t>
            </w:r>
          </w:p>
        </w:tc>
        <w:tc>
          <w:tcPr>
            <w:tcW w:type="dxa" w:w="3300"/>
            <w:vAlign w:val="top"/>
          </w:tcPr>
          <w:p>
            <w:r/>
            <w:r>
              <w:rPr>
                <w:rFonts w:ascii="Arial" w:hAnsi="Arial"/>
                <w:b w:val="0"/>
                <w:sz w:val="16"/>
              </w:rPr>
              <w:t>Toyraanvuori, Joanna. "Psalm 29 and Methodological Triangulation: What Can Ugaritic Parallels and Iconographic Motifs Add to the Interpretation of a Psalm?" Biblische Notizen 186 (2020): 51-74. Publiziert 28. September 2020.</w:t>
            </w:r>
          </w:p>
        </w:tc>
        <w:tc>
          <w:tcPr>
            <w:tcW w:type="dxa" w:w="3300"/>
            <w:vAlign w:val="top"/>
          </w:tcPr>
          <w:p>
            <w:r/>
            <w:r>
              <w:rPr>
                <w:rFonts w:ascii="Arial" w:hAnsi="Arial"/>
                <w:b w:val="0"/>
                <w:sz w:val="16"/>
              </w:rPr>
              <w:t>Psalm 29, Baal-Zyklus, KTU 1.4 VII 25-52, KTU 1.101 und Ikonographie; wichtig fuer Baal/JHWH-Motivvergleich.</w:t>
            </w:r>
          </w:p>
        </w:tc>
      </w:tr>
      <w:tr>
        <w:tc>
          <w:tcPr>
            <w:tcW w:type="dxa" w:w="2400"/>
            <w:vAlign w:val="top"/>
          </w:tcPr>
          <w:p>
            <w:r/>
            <w:r>
              <w:rPr>
                <w:rFonts w:ascii="Arial" w:hAnsi="Arial"/>
                <w:b w:val="0"/>
                <w:sz w:val="16"/>
              </w:rPr>
              <w:t>McClellan 2018</w:t>
            </w:r>
          </w:p>
        </w:tc>
        <w:tc>
          <w:tcPr>
            <w:tcW w:type="dxa" w:w="3300"/>
            <w:vAlign w:val="top"/>
          </w:tcPr>
          <w:p>
            <w:r/>
            <w:r>
              <w:rPr>
                <w:rFonts w:ascii="Arial" w:hAnsi="Arial"/>
                <w:b w:val="0"/>
                <w:sz w:val="16"/>
              </w:rPr>
              <w:t>McClellan, Daniel O. "The Gods-Complaint: Psalm 82 as a Psalm of Complaint." Journal of Biblical Literature 137/4 (2018): 833-851. DOI: 10.15699/jbl.1374.2018.452196.</w:t>
            </w:r>
          </w:p>
        </w:tc>
        <w:tc>
          <w:tcPr>
            <w:tcW w:type="dxa" w:w="3300"/>
            <w:vAlign w:val="top"/>
          </w:tcPr>
          <w:p>
            <w:r/>
            <w:r>
              <w:rPr>
                <w:rFonts w:ascii="Arial" w:hAnsi="Arial"/>
                <w:b w:val="0"/>
                <w:sz w:val="16"/>
              </w:rPr>
              <w:t>Psalm 82 als Goetterklage; relevant fuer Ratsmodell, Exilkontext und Universalisation JHWHs.</w:t>
            </w:r>
          </w:p>
        </w:tc>
      </w:tr>
      <w:tr>
        <w:tc>
          <w:tcPr>
            <w:tcW w:type="dxa" w:w="2400"/>
            <w:vAlign w:val="top"/>
          </w:tcPr>
          <w:p>
            <w:r/>
            <w:r>
              <w:rPr>
                <w:rFonts w:ascii="Arial" w:hAnsi="Arial"/>
                <w:b w:val="0"/>
                <w:sz w:val="16"/>
              </w:rPr>
              <w:t>Thompson 2024</w:t>
            </w:r>
          </w:p>
        </w:tc>
        <w:tc>
          <w:tcPr>
            <w:tcW w:type="dxa" w:w="3300"/>
            <w:vAlign w:val="top"/>
          </w:tcPr>
          <w:p>
            <w:r/>
            <w:r>
              <w:rPr>
                <w:rFonts w:ascii="Arial" w:hAnsi="Arial"/>
                <w:b w:val="0"/>
                <w:sz w:val="16"/>
              </w:rPr>
              <w:t>Thompson, Shane M. "Local Manifestations of YHWH within El's Divine Council: Psalm 82 in the Context of Israelite Religion." Journal of Biblical Literature 143/2 (2024): 245-265. DOI: 10.15699/jbl.1432.2024.4.</w:t>
            </w:r>
          </w:p>
        </w:tc>
        <w:tc>
          <w:tcPr>
            <w:tcW w:type="dxa" w:w="3300"/>
            <w:vAlign w:val="top"/>
          </w:tcPr>
          <w:p>
            <w:r/>
            <w:r>
              <w:rPr>
                <w:rFonts w:ascii="Arial" w:hAnsi="Arial"/>
                <w:b w:val="0"/>
                <w:sz w:val="16"/>
              </w:rPr>
              <w:t>Aktuelle Psalm-82-Diskussion zu El, YHWH und mehreren elohim; Seitenbereich bibliographisch geschlossen.</w:t>
            </w:r>
          </w:p>
        </w:tc>
      </w:tr>
      <w:tr>
        <w:tc>
          <w:tcPr>
            <w:tcW w:type="dxa" w:w="2400"/>
            <w:vAlign w:val="top"/>
          </w:tcPr>
          <w:p>
            <w:r/>
            <w:r>
              <w:rPr>
                <w:rFonts w:ascii="Arial" w:hAnsi="Arial"/>
                <w:b w:val="0"/>
                <w:sz w:val="16"/>
              </w:rPr>
              <w:t>Andresen 2026</w:t>
            </w:r>
          </w:p>
        </w:tc>
        <w:tc>
          <w:tcPr>
            <w:tcW w:type="dxa" w:w="3300"/>
            <w:vAlign w:val="top"/>
          </w:tcPr>
          <w:p>
            <w:r/>
            <w:r>
              <w:rPr>
                <w:rFonts w:ascii="Arial" w:hAnsi="Arial"/>
                <w:b w:val="0"/>
                <w:sz w:val="16"/>
              </w:rPr>
              <w:t>Andresen, Casper Lindblad. "In the Council of Gods: Ethical Accountability and Divine Legitimacy in Psalm 82." Scandinavian Journal of the Old Testament (online 15. April 2026). DOI: 10.1080/09018328.2026.2658516.</w:t>
            </w:r>
          </w:p>
        </w:tc>
        <w:tc>
          <w:tcPr>
            <w:tcW w:type="dxa" w:w="3300"/>
            <w:vAlign w:val="top"/>
          </w:tcPr>
          <w:p>
            <w:r/>
            <w:r>
              <w:rPr>
                <w:rFonts w:ascii="Arial" w:hAnsi="Arial"/>
                <w:b w:val="0"/>
                <w:sz w:val="16"/>
              </w:rPr>
              <w:t>Sehr aktueller Psalm-82-Beleg zu Gericht, Ethik und Legitimität im goettlichen Rat.</w:t>
            </w:r>
          </w:p>
        </w:tc>
      </w:tr>
      <w:tr>
        <w:tc>
          <w:tcPr>
            <w:tcW w:type="dxa" w:w="2400"/>
            <w:vAlign w:val="top"/>
          </w:tcPr>
          <w:p>
            <w:r/>
            <w:r>
              <w:rPr>
                <w:rFonts w:ascii="Arial" w:hAnsi="Arial"/>
                <w:b w:val="0"/>
                <w:sz w:val="16"/>
              </w:rPr>
              <w:t>Reed 2005</w:t>
            </w:r>
          </w:p>
        </w:tc>
        <w:tc>
          <w:tcPr>
            <w:tcW w:type="dxa" w:w="3300"/>
            <w:vAlign w:val="top"/>
          </w:tcPr>
          <w:p>
            <w:r/>
            <w:r>
              <w:rPr>
                <w:rFonts w:ascii="Arial" w:hAnsi="Arial"/>
                <w:b w:val="0"/>
                <w:sz w:val="16"/>
              </w:rPr>
              <w:t>Reed, Annette Yoshiko. Fallen Angels and the History of Judaism and Christianity: The Reception of Enochic Literature. Cambridge: Cambridge University Press, 2005. Print: xii + 318 S.; Online-DOI: 10.1017/CBO9780511499104.</w:t>
            </w:r>
          </w:p>
        </w:tc>
        <w:tc>
          <w:tcPr>
            <w:tcW w:type="dxa" w:w="3300"/>
            <w:vAlign w:val="top"/>
          </w:tcPr>
          <w:p>
            <w:r/>
            <w:r>
              <w:rPr>
                <w:rFonts w:ascii="Arial" w:hAnsi="Arial"/>
                <w:b w:val="0"/>
                <w:sz w:val="16"/>
              </w:rPr>
              <w:t>Second-Temple-Umdeutung, Henoch, Waechter, gefallene Engel und Rezeptionsgeschichte.</w:t>
            </w:r>
          </w:p>
        </w:tc>
      </w:tr>
      <w:tr>
        <w:tc>
          <w:tcPr>
            <w:tcW w:type="dxa" w:w="2400"/>
            <w:vAlign w:val="top"/>
          </w:tcPr>
          <w:p>
            <w:r/>
            <w:r>
              <w:rPr>
                <w:rFonts w:ascii="Arial" w:hAnsi="Arial"/>
                <w:b w:val="0"/>
                <w:sz w:val="16"/>
              </w:rPr>
              <w:t>Nickelsburg 2001</w:t>
            </w:r>
          </w:p>
        </w:tc>
        <w:tc>
          <w:tcPr>
            <w:tcW w:type="dxa" w:w="3300"/>
            <w:vAlign w:val="top"/>
          </w:tcPr>
          <w:p>
            <w:r/>
            <w:r>
              <w:rPr>
                <w:rFonts w:ascii="Arial" w:hAnsi="Arial"/>
                <w:b w:val="0"/>
                <w:sz w:val="16"/>
              </w:rPr>
              <w:t>Nickelsburg, George W. E. 1 Enoch 1: A Commentary on the Book of 1 Enoch, Chapters 1-36, 81-108. Hermeneia. Minneapolis: Fortress Press, 2001. ISBN 978-0-8006-6074-1.</w:t>
            </w:r>
          </w:p>
        </w:tc>
        <w:tc>
          <w:tcPr>
            <w:tcW w:type="dxa" w:w="3300"/>
            <w:vAlign w:val="top"/>
          </w:tcPr>
          <w:p>
            <w:r/>
            <w:r>
              <w:rPr>
                <w:rFonts w:ascii="Arial" w:hAnsi="Arial"/>
                <w:b w:val="0"/>
                <w:sz w:val="16"/>
              </w:rPr>
              <w:t>Kommentargrundlage zu 1 Henoch/Buch der Waechter; wichtig fuer Nephilim/Waechter-Dossier.</w:t>
            </w:r>
          </w:p>
        </w:tc>
      </w:tr>
      <w:tr>
        <w:tc>
          <w:tcPr>
            <w:tcW w:type="dxa" w:w="2400"/>
            <w:vAlign w:val="top"/>
          </w:tcPr>
          <w:p>
            <w:r/>
            <w:r>
              <w:rPr>
                <w:rFonts w:ascii="Arial" w:hAnsi="Arial"/>
                <w:b w:val="0"/>
                <w:sz w:val="16"/>
              </w:rPr>
              <w:t>Firestone 2012</w:t>
            </w:r>
          </w:p>
        </w:tc>
        <w:tc>
          <w:tcPr>
            <w:tcW w:type="dxa" w:w="3300"/>
            <w:vAlign w:val="top"/>
          </w:tcPr>
          <w:p>
            <w:r/>
            <w:r>
              <w:rPr>
                <w:rFonts w:ascii="Arial" w:hAnsi="Arial"/>
                <w:b w:val="0"/>
                <w:sz w:val="16"/>
              </w:rPr>
              <w:t>Firestone, Reuven. Holy War in Judaism: The Fall and Rise of a Controversial Idea. New York: Oxford University Press, 2012. DOI: 10.1093/acprof:oso/9780199860302.001.0001.</w:t>
            </w:r>
          </w:p>
        </w:tc>
        <w:tc>
          <w:tcPr>
            <w:tcW w:type="dxa" w:w="3300"/>
            <w:vAlign w:val="top"/>
          </w:tcPr>
          <w:p>
            <w:r/>
            <w:r>
              <w:rPr>
                <w:rFonts w:ascii="Arial" w:hAnsi="Arial"/>
                <w:b w:val="0"/>
                <w:sz w:val="16"/>
              </w:rPr>
              <w:t>Gewalt, heiliger Krieg, Herem und spaetere juedische Rezeptionsgeschichte.</w:t>
            </w:r>
          </w:p>
        </w:tc>
      </w:tr>
    </w:tbl>
    <w:p>
      <w:pPr>
        <w:pStyle w:val="Heading2"/>
      </w:pPr>
      <w:r>
        <w:t>2. Fachnahe Onlinequellen und digitale Nachweise</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Kurzbeleg</w:t>
            </w:r>
          </w:p>
        </w:tc>
        <w:tc>
          <w:tcPr>
            <w:tcW w:type="dxa" w:w="3300"/>
            <w:vAlign w:val="top"/>
            <w:shd w:fill="F1F3F4"/>
          </w:tcPr>
          <w:p>
            <w:r/>
            <w:r>
              <w:rPr>
                <w:rFonts w:ascii="Arial" w:hAnsi="Arial"/>
                <w:b/>
                <w:sz w:val="16"/>
              </w:rPr>
              <w:t>Normalisierter Onlinebeleg</w:t>
            </w:r>
          </w:p>
        </w:tc>
        <w:tc>
          <w:tcPr>
            <w:tcW w:type="dxa" w:w="3300"/>
            <w:vAlign w:val="top"/>
            <w:shd w:fill="F1F3F4"/>
          </w:tcPr>
          <w:p>
            <w:r/>
            <w:r>
              <w:rPr>
                <w:rFonts w:ascii="Arial" w:hAnsi="Arial"/>
                <w:b/>
                <w:sz w:val="16"/>
              </w:rPr>
              <w:t>Funktion / Status</w:t>
            </w:r>
          </w:p>
        </w:tc>
      </w:tr>
      <w:tr>
        <w:tc>
          <w:tcPr>
            <w:tcW w:type="dxa" w:w="2400"/>
            <w:vAlign w:val="top"/>
          </w:tcPr>
          <w:p>
            <w:r/>
            <w:r>
              <w:rPr>
                <w:rFonts w:ascii="Arial" w:hAnsi="Arial"/>
                <w:b w:val="0"/>
                <w:sz w:val="16"/>
              </w:rPr>
              <w:t>ORACC Anunna</w:t>
            </w:r>
          </w:p>
        </w:tc>
        <w:tc>
          <w:tcPr>
            <w:tcW w:type="dxa" w:w="3300"/>
            <w:vAlign w:val="top"/>
          </w:tcPr>
          <w:p>
            <w:r/>
            <w:r>
              <w:rPr>
                <w:rFonts w:ascii="Arial" w:hAnsi="Arial"/>
                <w:b w:val="0"/>
                <w:sz w:val="16"/>
              </w:rPr>
              <w:t>Brisch, Nicole. "Anunna (Anunnaku, Anunnaki) (a group of gods)." Ancient Mesopotamian Gods and Goddesses, Oracc/University of Pennsylvania. URL: https://oracc.museum.upenn.edu/amgg/listofdeities/anunna/. Abruf: 22. Juli 2026.</w:t>
            </w:r>
          </w:p>
        </w:tc>
        <w:tc>
          <w:tcPr>
            <w:tcW w:type="dxa" w:w="3300"/>
            <w:vAlign w:val="top"/>
          </w:tcPr>
          <w:p>
            <w:r/>
            <w:r>
              <w:rPr>
                <w:rFonts w:ascii="Arial" w:hAnsi="Arial"/>
                <w:b w:val="0"/>
                <w:sz w:val="16"/>
              </w:rPr>
              <w:t>Primaerer digitaler Fachanker fuer Anunna/Anunnaki als variable mesopotamische Goettergruppe; ORACC-Pfad in Endfassung erneut technisch pruefen.</w:t>
            </w:r>
          </w:p>
        </w:tc>
      </w:tr>
      <w:tr>
        <w:tc>
          <w:tcPr>
            <w:tcW w:type="dxa" w:w="2400"/>
            <w:vAlign w:val="top"/>
          </w:tcPr>
          <w:p>
            <w:r/>
            <w:r>
              <w:rPr>
                <w:rFonts w:ascii="Arial" w:hAnsi="Arial"/>
                <w:b w:val="0"/>
                <w:sz w:val="16"/>
              </w:rPr>
              <w:t>ORACC Ishkur/Adad</w:t>
            </w:r>
          </w:p>
        </w:tc>
        <w:tc>
          <w:tcPr>
            <w:tcW w:type="dxa" w:w="3300"/>
            <w:vAlign w:val="top"/>
          </w:tcPr>
          <w:p>
            <w:r/>
            <w:r>
              <w:rPr>
                <w:rFonts w:ascii="Arial" w:hAnsi="Arial"/>
                <w:b w:val="0"/>
                <w:sz w:val="16"/>
              </w:rPr>
              <w:t>Stevens, Kathryn. "Ishkur/Adad (god)." Ancient Mesopotamian Gods and Goddesses, Oracc/University of Pennsylvania. URL: https://oracc.museum.upenn.edu/amgg/Listofdeities/Ishkur/. Abruf: 22. Juli 2026.</w:t>
            </w:r>
          </w:p>
        </w:tc>
        <w:tc>
          <w:tcPr>
            <w:tcW w:type="dxa" w:w="3300"/>
            <w:vAlign w:val="top"/>
          </w:tcPr>
          <w:p>
            <w:r/>
            <w:r>
              <w:rPr>
                <w:rFonts w:ascii="Arial" w:hAnsi="Arial"/>
                <w:b w:val="0"/>
                <w:sz w:val="16"/>
              </w:rPr>
              <w:t>Vergleichsanker fuer Sturm-, Regen-, Kriegs- und Adad/Hadad-Motive.</w:t>
            </w:r>
          </w:p>
        </w:tc>
      </w:tr>
      <w:tr>
        <w:tc>
          <w:tcPr>
            <w:tcW w:type="dxa" w:w="2400"/>
            <w:vAlign w:val="top"/>
          </w:tcPr>
          <w:p>
            <w:r/>
            <w:r>
              <w:rPr>
                <w:rFonts w:ascii="Arial" w:hAnsi="Arial"/>
                <w:b w:val="0"/>
                <w:sz w:val="16"/>
              </w:rPr>
              <w:t>TheTorah Herem</w:t>
            </w:r>
          </w:p>
        </w:tc>
        <w:tc>
          <w:tcPr>
            <w:tcW w:type="dxa" w:w="3300"/>
            <w:vAlign w:val="top"/>
          </w:tcPr>
          <w:p>
            <w:r/>
            <w:r>
              <w:rPr>
                <w:rFonts w:ascii="Arial" w:hAnsi="Arial"/>
                <w:b w:val="0"/>
                <w:sz w:val="16"/>
              </w:rPr>
              <w:t>Cogan, Mordechai. "Deuteronomy's Herem Law: Protecting Israel at the Cost of its Humanity." TheTorah.com, 2022. URL: https://www.thetorah.com/article/deuteronomys-herem-law-protecting-israel-at-the-cost-of-its-humanity. Abruf: 22. Juli 2026.</w:t>
            </w:r>
          </w:p>
        </w:tc>
        <w:tc>
          <w:tcPr>
            <w:tcW w:type="dxa" w:w="3300"/>
            <w:vAlign w:val="top"/>
          </w:tcPr>
          <w:p>
            <w:r/>
            <w:r>
              <w:rPr>
                <w:rFonts w:ascii="Arial" w:hAnsi="Arial"/>
                <w:b w:val="0"/>
                <w:sz w:val="16"/>
              </w:rPr>
              <w:t>Fachnaher Onlinebeleg zu Dtn 20, Herem und Gewaltproblem; nicht als Ersatz fuer Primaertext nutzen.</w:t>
            </w:r>
          </w:p>
        </w:tc>
      </w:tr>
      <w:tr>
        <w:tc>
          <w:tcPr>
            <w:tcW w:type="dxa" w:w="2400"/>
            <w:vAlign w:val="top"/>
          </w:tcPr>
          <w:p>
            <w:r/>
            <w:r>
              <w:rPr>
                <w:rFonts w:ascii="Arial" w:hAnsi="Arial"/>
                <w:b w:val="0"/>
                <w:sz w:val="16"/>
              </w:rPr>
              <w:t>TheTorah Plagen I</w:t>
            </w:r>
          </w:p>
        </w:tc>
        <w:tc>
          <w:tcPr>
            <w:tcW w:type="dxa" w:w="3300"/>
            <w:vAlign w:val="top"/>
          </w:tcPr>
          <w:p>
            <w:r/>
            <w:r>
              <w:rPr>
                <w:rFonts w:ascii="Arial" w:hAnsi="Arial"/>
                <w:b w:val="0"/>
                <w:sz w:val="16"/>
              </w:rPr>
              <w:t>Rendsburg, Gary A. "Reading the Plagues in their Ancient Egyptian Context." TheTorah.com, 2015. URL: https://www.thetorah.com/article/reading-the-plagues-in-their-ancient-egyptian-context. Abruf: 22. Juli 2026.</w:t>
            </w:r>
          </w:p>
        </w:tc>
        <w:tc>
          <w:tcPr>
            <w:tcW w:type="dxa" w:w="3300"/>
            <w:vAlign w:val="top"/>
          </w:tcPr>
          <w:p>
            <w:r/>
            <w:r>
              <w:rPr>
                <w:rFonts w:ascii="Arial" w:hAnsi="Arial"/>
                <w:b w:val="0"/>
                <w:sz w:val="16"/>
              </w:rPr>
              <w:t>Aegyptischer Kontext der Plagen; vorsichtig als Kontextbeleg, nicht als historischer Ereignisbeweis.</w:t>
            </w:r>
          </w:p>
        </w:tc>
      </w:tr>
      <w:tr>
        <w:tc>
          <w:tcPr>
            <w:tcW w:type="dxa" w:w="2400"/>
            <w:vAlign w:val="top"/>
          </w:tcPr>
          <w:p>
            <w:r/>
            <w:r>
              <w:rPr>
                <w:rFonts w:ascii="Arial" w:hAnsi="Arial"/>
                <w:b w:val="0"/>
                <w:sz w:val="16"/>
              </w:rPr>
              <w:t>TheTorah Plagen II</w:t>
            </w:r>
          </w:p>
        </w:tc>
        <w:tc>
          <w:tcPr>
            <w:tcW w:type="dxa" w:w="3300"/>
            <w:vAlign w:val="top"/>
          </w:tcPr>
          <w:p>
            <w:r/>
            <w:r>
              <w:rPr>
                <w:rFonts w:ascii="Arial" w:hAnsi="Arial"/>
                <w:b w:val="0"/>
                <w:sz w:val="16"/>
              </w:rPr>
              <w:t>Rendsburg, Gary A. "YHWH's War Against the Egyptian Sun-God Ra." TheTorah.com, 2016. URL: https://www.thetorah.com/article/yhwhs-war-against-the-egyptian-sun-god-ra. Abruf: 22. Juli 2026.</w:t>
            </w:r>
          </w:p>
        </w:tc>
        <w:tc>
          <w:tcPr>
            <w:tcW w:type="dxa" w:w="3300"/>
            <w:vAlign w:val="top"/>
          </w:tcPr>
          <w:p>
            <w:r/>
            <w:r>
              <w:rPr>
                <w:rFonts w:ascii="Arial" w:hAnsi="Arial"/>
                <w:b w:val="0"/>
                <w:sz w:val="16"/>
              </w:rPr>
              <w:t>Kontext zu Ex 12,12 und Gericht an den Goettern Aegyptens.</w:t>
            </w:r>
          </w:p>
        </w:tc>
      </w:tr>
      <w:tr>
        <w:tc>
          <w:tcPr>
            <w:tcW w:type="dxa" w:w="2400"/>
            <w:vAlign w:val="top"/>
          </w:tcPr>
          <w:p>
            <w:r/>
            <w:r>
              <w:rPr>
                <w:rFonts w:ascii="Arial" w:hAnsi="Arial"/>
                <w:b w:val="0"/>
                <w:sz w:val="16"/>
              </w:rPr>
              <w:t>BAS/BAR Stahl</w:t>
            </w:r>
          </w:p>
        </w:tc>
        <w:tc>
          <w:tcPr>
            <w:tcW w:type="dxa" w:w="3300"/>
            <w:vAlign w:val="top"/>
          </w:tcPr>
          <w:p>
            <w:r/>
            <w:r>
              <w:rPr>
                <w:rFonts w:ascii="Arial" w:hAnsi="Arial"/>
                <w:b w:val="0"/>
                <w:sz w:val="16"/>
              </w:rPr>
              <w:t>Stahl, Michael J. "Yahweh or Baal--Who Was the God of Northern Israel?" Biblical Archaeology Review 49/3 (Fall 2023): 42-48. BAS Library. Abruf: 22. Juli 2026.</w:t>
            </w:r>
          </w:p>
        </w:tc>
        <w:tc>
          <w:tcPr>
            <w:tcW w:type="dxa" w:w="3300"/>
            <w:vAlign w:val="top"/>
          </w:tcPr>
          <w:p>
            <w:r/>
            <w:r>
              <w:rPr>
                <w:rFonts w:ascii="Arial" w:hAnsi="Arial"/>
                <w:b w:val="0"/>
                <w:sz w:val="16"/>
              </w:rPr>
              <w:t>Popularisierte Forschungsbruecke; Hauptbeleg bleibt Stahl 2021 bzw. Stahl 2021 Monographie.</w:t>
            </w:r>
          </w:p>
        </w:tc>
      </w:tr>
    </w:tbl>
    <w:p>
      <w:pPr>
        <w:pStyle w:val="Heading2"/>
      </w:pPr>
      <w:r>
        <w:t>3. Ergebnis fuer die Fussnoten-Endredaktion</w:t>
      </w:r>
    </w:p>
    <w:p>
      <w:pPr>
        <w:pStyle w:val="ListBullet"/>
      </w:pPr>
      <w:r>
        <w:rPr>
          <w:rFonts w:ascii="Arial" w:hAnsi="Arial"/>
        </w:rPr>
        <w:t>Block 2 deckt nun die wichtigsten Aufsatz- und Onlinekurzbelege mit DOI, Seitenbereich oder Abrufdatum ab, soweit diese bibliographisch verfuegbar waren.</w:t>
      </w:r>
    </w:p>
    <w:p>
      <w:pPr>
        <w:pStyle w:val="ListBullet"/>
      </w:pPr>
      <w:r>
        <w:rPr>
          <w:rFonts w:ascii="Arial" w:hAnsi="Arial"/>
        </w:rPr>
        <w:t>Punktgenaue Seitenangaben innerhalb einzelner Kapitel-Fussnoten sind als Feinnormalisierung fuer eine spaetere akademische Einreichung markiert, besonders bei monographischen Quellen wie Reed, Nickelsburg und Firestone.</w:t>
      </w:r>
    </w:p>
    <w:p>
      <w:pPr>
        <w:pStyle w:val="ListBullet"/>
      </w:pPr>
      <w:r>
        <w:rPr>
          <w:rFonts w:ascii="Arial" w:hAnsi="Arial"/>
        </w:rPr>
        <w:t>Onlinequellen erhalten in der Druckfassung URL und Abrufdatum; bei dynamischen Webseiten bleibt eine letzte technische Linkkontrolle unmittelbar vor Abgabe notwendig.</w:t>
      </w:r>
    </w:p>
    <w:p>
      <w:pPr>
        <w:pStyle w:val="ListBullet"/>
      </w:pPr>
      <w:r>
        <w:rPr>
          <w:rFonts w:ascii="Arial" w:hAnsi="Arial"/>
        </w:rPr>
        <w:t>BAS/BAR und TheTorah sind hilfreich, aber methodisch unter Fachmonographie, Fachaufsatz und Primaertext einzuordnen.</w:t>
      </w:r>
    </w:p>
    <w:p>
      <w:r>
        <w:br w:type="page"/>
      </w:r>
    </w:p>
    <w:p>
      <w:pPr>
        <w:pStyle w:val="Heading1"/>
      </w:pPr>
      <w:r>
        <w:t>Archiv- und Materialnachweis</w:t>
      </w:r>
    </w:p>
    <w:p>
      <w:r>
        <w:rPr>
          <w:rFonts w:ascii="Arial" w:hAnsi="Arial"/>
        </w:rPr>
        <w:t>Die folgenden Anlagen dokumentieren die bisherige Arbeitsgrundlage. Sie sind für spätere Überarbeitungen nicht automatisch gleichrangig mit der Hauptthese; ihr jeweiliger Status ist im Anlagenverzeichnis festgehalten.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Bereich</w:t>
            </w:r>
          </w:p>
        </w:tc>
        <w:tc>
          <w:tcPr>
            <w:tcW w:type="dxa" w:w="3300"/>
            <w:vAlign w:val="top"/>
            <w:shd w:fill="F1F3F4"/>
          </w:tcPr>
          <w:p>
            <w:r/>
            <w:r>
              <w:rPr>
                <w:rFonts w:ascii="Arial" w:hAnsi="Arial"/>
                <w:b/>
                <w:sz w:val="16"/>
              </w:rPr>
              <w:t>Material</w:t>
            </w:r>
          </w:p>
        </w:tc>
        <w:tc>
          <w:tcPr>
            <w:tcW w:type="dxa" w:w="3300"/>
            <w:vAlign w:val="top"/>
            <w:shd w:fill="F1F3F4"/>
          </w:tcPr>
          <w:p>
            <w:r/>
            <w:r>
              <w:rPr>
                <w:rFonts w:ascii="Arial" w:hAnsi="Arial"/>
                <w:b/>
                <w:sz w:val="16"/>
              </w:rPr>
              <w:t>Lesefassung und Verarbeitungsstatus</w:t>
            </w:r>
          </w:p>
        </w:tc>
      </w:tr>
      <w:tr>
        <w:tc>
          <w:tcPr>
            <w:tcW w:type="dxa" w:w="2400"/>
            <w:vAlign w:val="top"/>
          </w:tcPr>
          <w:p>
            <w:r/>
            <w:r>
              <w:rPr>
                <w:rFonts w:ascii="Arial" w:hAnsi="Arial"/>
                <w:b w:val="0"/>
                <w:sz w:val="16"/>
              </w:rPr>
              <w:t>Alter Hauptteil</w:t>
            </w:r>
          </w:p>
        </w:tc>
        <w:tc>
          <w:tcPr>
            <w:tcW w:type="dxa" w:w="3300"/>
            <w:vAlign w:val="top"/>
          </w:tcPr>
          <w:p>
            <w:r/>
            <w:r>
              <w:rPr>
                <w:rFonts w:ascii="Arial" w:hAnsi="Arial"/>
                <w:b w:val="0"/>
                <w:sz w:val="16"/>
              </w:rPr>
              <w:t>Bibelanalyse_Hauptausarbeitung_Projekt.docx</w:t>
            </w:r>
          </w:p>
        </w:tc>
        <w:tc>
          <w:tcPr>
            <w:tcW w:type="dxa" w:w="3300"/>
            <w:vAlign w:val="top"/>
          </w:tcPr>
          <w:p>
            <w:r/>
            <w:r>
              <w:rPr>
                <w:rFonts w:ascii="Arial" w:hAnsi="Arial"/>
                <w:b w:val="0"/>
                <w:sz w:val="16"/>
              </w:rPr>
              <w:t>Nicht als Volltext eingehaengt; in Kapitel 1-14 und den Synthesen verarbeitet.</w:t>
            </w:r>
          </w:p>
        </w:tc>
      </w:tr>
      <w:tr>
        <w:tc>
          <w:tcPr>
            <w:tcW w:type="dxa" w:w="2400"/>
            <w:vAlign w:val="top"/>
          </w:tcPr>
          <w:p>
            <w:r/>
            <w:r>
              <w:rPr>
                <w:rFonts w:ascii="Arial" w:hAnsi="Arial"/>
                <w:b w:val="0"/>
                <w:sz w:val="16"/>
              </w:rPr>
              <w:t>Anlage A</w:t>
            </w:r>
          </w:p>
        </w:tc>
        <w:tc>
          <w:tcPr>
            <w:tcW w:type="dxa" w:w="3300"/>
            <w:vAlign w:val="top"/>
          </w:tcPr>
          <w:p>
            <w:r/>
            <w:r>
              <w:rPr>
                <w:rFonts w:ascii="Arial" w:hAnsi="Arial"/>
                <w:b w:val="0"/>
                <w:sz w:val="16"/>
              </w:rPr>
              <w:t>Sachliche Auswertung der Datei EL war im</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B</w:t>
            </w:r>
          </w:p>
        </w:tc>
        <w:tc>
          <w:tcPr>
            <w:tcW w:type="dxa" w:w="3300"/>
            <w:vAlign w:val="top"/>
          </w:tcPr>
          <w:p>
            <w:r/>
            <w:r>
              <w:rPr>
                <w:rFonts w:ascii="Arial" w:hAnsi="Arial"/>
                <w:b w:val="0"/>
                <w:sz w:val="16"/>
              </w:rPr>
              <w:t>Bibelanalyse Forschungsplan und Thesenvergleich</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C</w:t>
            </w:r>
          </w:p>
        </w:tc>
        <w:tc>
          <w:tcPr>
            <w:tcW w:type="dxa" w:w="3300"/>
            <w:vAlign w:val="top"/>
          </w:tcPr>
          <w:p>
            <w:r/>
            <w:r>
              <w:rPr>
                <w:rFonts w:ascii="Arial" w:hAnsi="Arial"/>
                <w:b w:val="0"/>
                <w:sz w:val="16"/>
              </w:rPr>
              <w:t>Bibelanalyse El JHWH Gottheiten Auswertung</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D</w:t>
            </w:r>
          </w:p>
        </w:tc>
        <w:tc>
          <w:tcPr>
            <w:tcW w:type="dxa" w:w="3300"/>
            <w:vAlign w:val="top"/>
          </w:tcPr>
          <w:p>
            <w:r/>
            <w:r>
              <w:rPr>
                <w:rFonts w:ascii="Arial" w:hAnsi="Arial"/>
                <w:b w:val="0"/>
                <w:sz w:val="16"/>
              </w:rPr>
              <w:t>Analyse Youtube Bibel Sumerer Vergleich EL JHWH</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E</w:t>
            </w:r>
          </w:p>
        </w:tc>
        <w:tc>
          <w:tcPr>
            <w:tcW w:type="dxa" w:w="3300"/>
            <w:vAlign w:val="top"/>
          </w:tcPr>
          <w:p>
            <w:r/>
            <w:r>
              <w:rPr>
                <w:rFonts w:ascii="Arial" w:hAnsi="Arial"/>
                <w:b w:val="0"/>
                <w:sz w:val="16"/>
              </w:rPr>
              <w:t>Göttliche Entwicklung und JHWH</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F</w:t>
            </w:r>
          </w:p>
        </w:tc>
        <w:tc>
          <w:tcPr>
            <w:tcW w:type="dxa" w:w="3300"/>
            <w:vAlign w:val="top"/>
          </w:tcPr>
          <w:p>
            <w:r/>
            <w:r>
              <w:rPr>
                <w:rFonts w:ascii="Arial" w:hAnsi="Arial"/>
                <w:b w:val="0"/>
                <w:sz w:val="16"/>
              </w:rPr>
              <w:t>Anunaki</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G</w:t>
            </w:r>
          </w:p>
        </w:tc>
        <w:tc>
          <w:tcPr>
            <w:tcW w:type="dxa" w:w="3300"/>
            <w:vAlign w:val="top"/>
          </w:tcPr>
          <w:p>
            <w:r/>
            <w:r>
              <w:rPr>
                <w:rFonts w:ascii="Arial" w:hAnsi="Arial"/>
                <w:b w:val="0"/>
                <w:sz w:val="16"/>
              </w:rPr>
              <w:t>Bibelanalyse Grundlagendokument Kapitel Ausarbeitung</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H</w:t>
            </w:r>
          </w:p>
        </w:tc>
        <w:tc>
          <w:tcPr>
            <w:tcW w:type="dxa" w:w="3300"/>
            <w:vAlign w:val="top"/>
          </w:tcPr>
          <w:p>
            <w:r/>
            <w:r>
              <w:rPr>
                <w:rFonts w:ascii="Arial" w:hAnsi="Arial"/>
                <w:b w:val="0"/>
                <w:sz w:val="16"/>
              </w:rPr>
              <w:t>Erweiterte Arbeitsabfolge 5 Stufen</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I</w:t>
            </w:r>
          </w:p>
        </w:tc>
        <w:tc>
          <w:tcPr>
            <w:tcW w:type="dxa" w:w="3300"/>
            <w:vAlign w:val="top"/>
          </w:tcPr>
          <w:p>
            <w:r/>
            <w:r>
              <w:rPr>
                <w:rFonts w:ascii="Arial" w:hAnsi="Arial"/>
                <w:b w:val="0"/>
                <w:sz w:val="16"/>
              </w:rPr>
              <w:t>Vorstufe Entstehung Israels aus Hochlandgruppen</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J</w:t>
            </w:r>
          </w:p>
        </w:tc>
        <w:tc>
          <w:tcPr>
            <w:tcW w:type="dxa" w:w="3300"/>
            <w:vAlign w:val="top"/>
          </w:tcPr>
          <w:p>
            <w:r/>
            <w:r>
              <w:rPr>
                <w:rFonts w:ascii="Arial" w:hAnsi="Arial"/>
                <w:b w:val="0"/>
                <w:sz w:val="16"/>
              </w:rPr>
              <w:t>Übergang Göttlicher Rat zum Monotheismus</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K</w:t>
            </w:r>
          </w:p>
        </w:tc>
        <w:tc>
          <w:tcPr>
            <w:tcW w:type="dxa" w:w="3300"/>
            <w:vAlign w:val="top"/>
          </w:tcPr>
          <w:p>
            <w:r/>
            <w:r>
              <w:rPr>
                <w:rFonts w:ascii="Arial" w:hAnsi="Arial"/>
                <w:b w:val="0"/>
                <w:sz w:val="16"/>
              </w:rPr>
              <w:t>Ergänzung Chatprüfung El JHWH Elohim</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L</w:t>
            </w:r>
          </w:p>
        </w:tc>
        <w:tc>
          <w:tcPr>
            <w:tcW w:type="dxa" w:w="3300"/>
            <w:vAlign w:val="top"/>
          </w:tcPr>
          <w:p>
            <w:r/>
            <w:r>
              <w:rPr>
                <w:rFonts w:ascii="Arial" w:hAnsi="Arial"/>
                <w:b w:val="0"/>
                <w:sz w:val="16"/>
              </w:rPr>
              <w:t>Prüfung Wissenschaftlicher Forschungsstand und Machbarkeit</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M</w:t>
            </w:r>
          </w:p>
        </w:tc>
        <w:tc>
          <w:tcPr>
            <w:tcW w:type="dxa" w:w="3300"/>
            <w:vAlign w:val="top"/>
          </w:tcPr>
          <w:p>
            <w:r/>
            <w:r>
              <w:rPr>
                <w:rFonts w:ascii="Arial" w:hAnsi="Arial"/>
                <w:b w:val="0"/>
                <w:sz w:val="16"/>
              </w:rPr>
              <w:t>Weltweite Gottheiten, Chronologie und Übergang zum Monotheismus</w:t>
            </w:r>
          </w:p>
        </w:tc>
        <w:tc>
          <w:tcPr>
            <w:tcW w:type="dxa" w:w="3300"/>
            <w:vAlign w:val="top"/>
          </w:tcPr>
          <w:p>
            <w:r/>
            <w:r>
              <w:rPr>
                <w:rFonts w:ascii="Arial" w:hAnsi="Arial"/>
                <w:b w:val="0"/>
                <w:sz w:val="16"/>
              </w:rPr>
              <w:t>Nachgewiesen, aber nicht als Volltext eingehaengt; Detailstatus siehe Anlagenverzeichnis.</w:t>
            </w:r>
          </w:p>
        </w:tc>
      </w:tr>
      <w:tr>
        <w:tc>
          <w:tcPr>
            <w:tcW w:type="dxa" w:w="2400"/>
            <w:vAlign w:val="top"/>
          </w:tcPr>
          <w:p>
            <w:r/>
            <w:r>
              <w:rPr>
                <w:rFonts w:ascii="Arial" w:hAnsi="Arial"/>
                <w:b w:val="0"/>
                <w:sz w:val="16"/>
              </w:rPr>
              <w:t>Anlage N</w:t>
            </w:r>
          </w:p>
        </w:tc>
        <w:tc>
          <w:tcPr>
            <w:tcW w:type="dxa" w:w="3300"/>
            <w:vAlign w:val="top"/>
          </w:tcPr>
          <w:p>
            <w:r/>
            <w:r>
              <w:rPr>
                <w:rFonts w:ascii="Arial" w:hAnsi="Arial"/>
                <w:b w:val="0"/>
                <w:sz w:val="16"/>
              </w:rPr>
              <w:t>Adam, Noah, Völkertafel, Dekalog, Schöpfung und Gewalt</w:t>
            </w:r>
          </w:p>
        </w:tc>
        <w:tc>
          <w:tcPr>
            <w:tcW w:type="dxa" w:w="3300"/>
            <w:vAlign w:val="top"/>
          </w:tcPr>
          <w:p>
            <w:r/>
            <w:r>
              <w:rPr>
                <w:rFonts w:ascii="Arial" w:hAnsi="Arial"/>
                <w:b w:val="0"/>
                <w:sz w:val="16"/>
              </w:rPr>
              <w:t>Nachgewiesen, aber nicht als Volltext eingehaengt; Detailstatus siehe Anlagenverzeichnis.</w:t>
            </w:r>
          </w:p>
        </w:tc>
      </w:tr>
    </w:tbl>
    <w:p>
      <w:pPr>
        <w:pStyle w:val="Heading2"/>
      </w:pPr>
      <w:r>
        <w:t>Redaktionsentscheidung zur Lesefassung</w:t>
      </w:r>
    </w:p>
    <w:p>
      <w:pPr>
        <w:pStyle w:val="ListBullet"/>
      </w:pPr>
      <w:r>
        <w:rPr>
          <w:rFonts w:ascii="Arial" w:hAnsi="Arial"/>
        </w:rPr>
        <w:t>Kapitel 1 bis 14 bilden den zentralen wissenschaftlichen Haupttext.</w:t>
      </w:r>
    </w:p>
    <w:p>
      <w:pPr>
        <w:pStyle w:val="ListBullet"/>
      </w:pPr>
      <w:r>
        <w:rPr>
          <w:rFonts w:ascii="Arial" w:hAnsi="Arial"/>
        </w:rPr>
        <w:t>Fruehere Haupttextfassungen bleiben Forschungs- und Arbeitsmaterial, werden aber nicht mehr im Druckkoerper wiederholt.</w:t>
      </w:r>
    </w:p>
    <w:p>
      <w:pPr>
        <w:pStyle w:val="ListBullet"/>
      </w:pPr>
      <w:r>
        <w:rPr>
          <w:rFonts w:ascii="Arial" w:hAnsi="Arial"/>
        </w:rPr>
        <w:t>Anlagen bleiben im Anlagenverzeichnis nachgewiesen; ihr Inhalt ist nicht automatisch gleichrangig mit den belegten Hauptthesen.</w:t>
      </w:r>
    </w:p>
    <w:p>
      <w:pPr>
        <w:pStyle w:val="Heading1"/>
      </w:pPr>
      <w:r>
        <w:t>Pflegehinweis für zukünftige Aktualisierungen</w:t>
      </w:r>
    </w:p>
    <w:p>
      <w:pPr>
        <w:pStyle w:val="ListNumber"/>
      </w:pPr>
      <w:r>
        <w:rPr>
          <w:rFonts w:ascii="Arial" w:hAnsi="Arial"/>
        </w:rPr>
        <w:t>Neue Dossiers werden zuerst fachlich geprüft und dann entweder in den Hauptteil übernommen oder als Anlage mit Statusvermerk ergänzt.</w:t>
      </w:r>
    </w:p>
    <w:p>
      <w:pPr>
        <w:pStyle w:val="ListNumber"/>
      </w:pPr>
      <w:r>
        <w:rPr>
          <w:rFonts w:ascii="Arial" w:hAnsi="Arial"/>
        </w:rPr>
        <w:t>Das Inhaltsverzeichnis ist ein Word-Feld. Nach dem Öffnen in Word sollte es per Rechtsklick aktualisiert werden.</w:t>
      </w:r>
    </w:p>
    <w:p>
      <w:pPr>
        <w:pStyle w:val="ListNumber"/>
      </w:pPr>
      <w:r>
        <w:rPr>
          <w:rFonts w:ascii="Arial" w:hAnsi="Arial"/>
        </w:rPr>
        <w:t>Das Anlagenverzeichnis muss bei jeder neuen Quelle um Dokumenttitel, Funktion, Status und Dateistand ergänzt werden.</w:t>
      </w:r>
    </w:p>
    <w:p>
      <w:pPr>
        <w:pStyle w:val="ListNumber"/>
      </w:pPr>
      <w:r>
        <w:rPr>
          <w:rFonts w:ascii="Arial" w:hAnsi="Arial"/>
        </w:rPr>
        <w:t>Anunnaki-Fragen bleiben als Vergleichs-/Einflussfragen geführt; direkte Identitätsthesen werden nur bei belastbarer Quellenlage aufgenommen.</w:t>
      </w:r>
    </w:p>
    <w:p>
      <w:pPr>
        <w:pStyle w:val="ListNumber"/>
      </w:pPr>
      <w:r>
        <w:rPr>
          <w:rFonts w:ascii="Arial" w:hAnsi="Arial"/>
        </w:rPr>
        <w:t>Second-Temple-Material zu Erzengeln, Wächtern und Dämonen wird nicht in frühisraelitische Phasen zurückprojiziert.</w:t>
      </w:r>
    </w:p>
    <w:p>
      <w:r>
        <w:br w:type="page"/>
      </w:r>
    </w:p>
    <w:p>
      <w:pPr>
        <w:pStyle w:val="Heading1"/>
      </w:pPr>
      <w:r>
        <w:t>Endfassungsvalidierung und Druckfreigabe V1</w:t>
      </w:r>
    </w:p>
    <w:p>
      <w:r>
        <w:rPr>
          <w:rFonts w:ascii="Arial" w:hAnsi="Arial"/>
        </w:rPr>
        <w:t>Diese Seite dokumentiert die fuer diese Druckfassung durchgefuehrten Abschlussarbeiten. Die Arbeit ist als validierte Lesefassung V1 zu verstehen: Hauptthese, Kapitelstruktur, Quellenhierarchie, Fussnotenapparat und Anlagenstatus sind fuer ein prueffaehiges Druckexemplar zusammengefuehrt. Eine spaetere akademische Einreichung kann weiterhin strengere Anforderungen an Zitierstil, Seitenangaben, DOI/URL-Nachweise oder Betreuervorgaben stellen.</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Pruefpunkt</w:t>
            </w:r>
          </w:p>
        </w:tc>
        <w:tc>
          <w:tcPr>
            <w:tcW w:type="dxa" w:w="3300"/>
            <w:vAlign w:val="top"/>
            <w:shd w:fill="F1F3F4"/>
          </w:tcPr>
          <w:p>
            <w:r/>
            <w:r>
              <w:rPr>
                <w:rFonts w:ascii="Arial" w:hAnsi="Arial"/>
                <w:b/>
                <w:sz w:val="16"/>
              </w:rPr>
              <w:t>Status</w:t>
            </w:r>
          </w:p>
        </w:tc>
        <w:tc>
          <w:tcPr>
            <w:tcW w:type="dxa" w:w="3300"/>
            <w:vAlign w:val="top"/>
            <w:shd w:fill="F1F3F4"/>
          </w:tcPr>
          <w:p>
            <w:r/>
            <w:r>
              <w:rPr>
                <w:rFonts w:ascii="Arial" w:hAnsi="Arial"/>
                <w:b/>
                <w:sz w:val="16"/>
              </w:rPr>
              <w:t>Ergebnis</w:t>
            </w:r>
          </w:p>
        </w:tc>
      </w:tr>
      <w:tr>
        <w:tc>
          <w:tcPr>
            <w:tcW w:type="dxa" w:w="2400"/>
            <w:vAlign w:val="top"/>
          </w:tcPr>
          <w:p>
            <w:r/>
            <w:r>
              <w:rPr>
                <w:rFonts w:ascii="Arial" w:hAnsi="Arial"/>
                <w:b w:val="0"/>
                <w:sz w:val="16"/>
              </w:rPr>
              <w:t>1. Literaturverzeichnis</w:t>
            </w:r>
          </w:p>
        </w:tc>
        <w:tc>
          <w:tcPr>
            <w:tcW w:type="dxa" w:w="3300"/>
            <w:vAlign w:val="top"/>
          </w:tcPr>
          <w:p>
            <w:r/>
            <w:r>
              <w:rPr>
                <w:rFonts w:ascii="Arial" w:hAnsi="Arial"/>
                <w:b w:val="0"/>
                <w:sz w:val="16"/>
              </w:rPr>
              <w:t>Durchgefuehrt</w:t>
            </w:r>
          </w:p>
        </w:tc>
        <w:tc>
          <w:tcPr>
            <w:tcW w:type="dxa" w:w="3300"/>
            <w:vAlign w:val="top"/>
          </w:tcPr>
          <w:p>
            <w:r/>
            <w:r>
              <w:rPr>
                <w:rFonts w:ascii="Arial" w:hAnsi="Arial"/>
                <w:b w:val="0"/>
                <w:sz w:val="16"/>
              </w:rPr>
              <w:t>Kernwerke, Spezialstudien, Onlinequellen und Arbeitsmaterial sind thematisch normalisiert und als Literaturapparat gefuehrt.</w:t>
            </w:r>
          </w:p>
        </w:tc>
      </w:tr>
      <w:tr>
        <w:tc>
          <w:tcPr>
            <w:tcW w:type="dxa" w:w="2400"/>
            <w:vAlign w:val="top"/>
          </w:tcPr>
          <w:p>
            <w:r/>
            <w:r>
              <w:rPr>
                <w:rFonts w:ascii="Arial" w:hAnsi="Arial"/>
                <w:b w:val="0"/>
                <w:sz w:val="16"/>
              </w:rPr>
              <w:t>2. Fussnotenvalidierung</w:t>
            </w:r>
          </w:p>
        </w:tc>
        <w:tc>
          <w:tcPr>
            <w:tcW w:type="dxa" w:w="3300"/>
            <w:vAlign w:val="top"/>
          </w:tcPr>
          <w:p>
            <w:r/>
            <w:r>
              <w:rPr>
                <w:rFonts w:ascii="Arial" w:hAnsi="Arial"/>
                <w:b w:val="0"/>
                <w:sz w:val="16"/>
              </w:rPr>
              <w:t>Durchgefuehrt</w:t>
            </w:r>
          </w:p>
        </w:tc>
        <w:tc>
          <w:tcPr>
            <w:tcW w:type="dxa" w:w="3300"/>
            <w:vAlign w:val="top"/>
          </w:tcPr>
          <w:p>
            <w:r/>
            <w:r>
              <w:rPr>
                <w:rFonts w:ascii="Arial" w:hAnsi="Arial"/>
                <w:b w:val="0"/>
                <w:sz w:val="16"/>
              </w:rPr>
              <w:t>110 echte Word-Fussnoten sind vorhanden; Quellenebenen sind nach Primaertext, Textkritik, Epigraphik/Archaeologie, Ugarit, altorientalischem Vergleich, Forschung und Methodik unterscheidbar.</w:t>
            </w:r>
          </w:p>
        </w:tc>
      </w:tr>
      <w:tr>
        <w:tc>
          <w:tcPr>
            <w:tcW w:type="dxa" w:w="2400"/>
            <w:vAlign w:val="top"/>
          </w:tcPr>
          <w:p>
            <w:r/>
            <w:r>
              <w:rPr>
                <w:rFonts w:ascii="Arial" w:hAnsi="Arial"/>
                <w:b w:val="0"/>
                <w:sz w:val="16"/>
              </w:rPr>
              <w:t>3. Dopplungskuerzung</w:t>
            </w:r>
          </w:p>
        </w:tc>
        <w:tc>
          <w:tcPr>
            <w:tcW w:type="dxa" w:w="3300"/>
            <w:vAlign w:val="top"/>
          </w:tcPr>
          <w:p>
            <w:r/>
            <w:r>
              <w:rPr>
                <w:rFonts w:ascii="Arial" w:hAnsi="Arial"/>
                <w:b w:val="0"/>
                <w:sz w:val="16"/>
              </w:rPr>
              <w:t>Durchgefuehrt</w:t>
            </w:r>
          </w:p>
        </w:tc>
        <w:tc>
          <w:tcPr>
            <w:tcW w:type="dxa" w:w="3300"/>
            <w:vAlign w:val="top"/>
          </w:tcPr>
          <w:p>
            <w:r/>
            <w:r>
              <w:rPr>
                <w:rFonts w:ascii="Arial" w:hAnsi="Arial"/>
                <w:b w:val="0"/>
                <w:sz w:val="16"/>
              </w:rPr>
              <w:t>Anlagen und Altmaterial werden nicht mehr als Volltext wiederholt; sie sind als Herkunfts-, Nachweis- und Archivmaterial ausgewiesen.</w:t>
            </w:r>
          </w:p>
        </w:tc>
      </w:tr>
      <w:tr>
        <w:tc>
          <w:tcPr>
            <w:tcW w:type="dxa" w:w="2400"/>
            <w:vAlign w:val="top"/>
          </w:tcPr>
          <w:p>
            <w:r/>
            <w:r>
              <w:rPr>
                <w:rFonts w:ascii="Arial" w:hAnsi="Arial"/>
                <w:b w:val="0"/>
                <w:sz w:val="16"/>
              </w:rPr>
              <w:t>4. Schlusskapitel/Hauptthese</w:t>
            </w:r>
          </w:p>
        </w:tc>
        <w:tc>
          <w:tcPr>
            <w:tcW w:type="dxa" w:w="3300"/>
            <w:vAlign w:val="top"/>
          </w:tcPr>
          <w:p>
            <w:r/>
            <w:r>
              <w:rPr>
                <w:rFonts w:ascii="Arial" w:hAnsi="Arial"/>
                <w:b w:val="0"/>
                <w:sz w:val="16"/>
              </w:rPr>
              <w:t>Durchgefuehrt</w:t>
            </w:r>
          </w:p>
        </w:tc>
        <w:tc>
          <w:tcPr>
            <w:tcW w:type="dxa" w:w="3300"/>
            <w:vAlign w:val="top"/>
          </w:tcPr>
          <w:p>
            <w:r/>
            <w:r>
              <w:rPr>
                <w:rFonts w:ascii="Arial" w:hAnsi="Arial"/>
                <w:b w:val="0"/>
                <w:sz w:val="16"/>
              </w:rPr>
              <w:t>Das Schlussmodell ist als Transformations-, Identifikations- und Funktionsuebernahmemodell formuliert; die harte Universalidentitaetsthese bleibt als nicht belegt markiert.</w:t>
            </w:r>
          </w:p>
        </w:tc>
      </w:tr>
      <w:tr>
        <w:tc>
          <w:tcPr>
            <w:tcW w:type="dxa" w:w="2400"/>
            <w:vAlign w:val="top"/>
          </w:tcPr>
          <w:p>
            <w:r/>
            <w:r>
              <w:rPr>
                <w:rFonts w:ascii="Arial" w:hAnsi="Arial"/>
                <w:b w:val="0"/>
                <w:sz w:val="16"/>
              </w:rPr>
              <w:t>5. Layout-Endkontrolle</w:t>
            </w:r>
          </w:p>
        </w:tc>
        <w:tc>
          <w:tcPr>
            <w:tcW w:type="dxa" w:w="3300"/>
            <w:vAlign w:val="top"/>
          </w:tcPr>
          <w:p>
            <w:r/>
            <w:r>
              <w:rPr>
                <w:rFonts w:ascii="Arial" w:hAnsi="Arial"/>
                <w:b w:val="0"/>
                <w:sz w:val="16"/>
              </w:rPr>
              <w:t>Durchgefuehrt</w:t>
            </w:r>
          </w:p>
        </w:tc>
        <w:tc>
          <w:tcPr>
            <w:tcW w:type="dxa" w:w="3300"/>
            <w:vAlign w:val="top"/>
          </w:tcPr>
          <w:p>
            <w:r/>
            <w:r>
              <w:rPr>
                <w:rFonts w:ascii="Arial" w:hAnsi="Arial"/>
                <w:b w:val="0"/>
                <w:sz w:val="16"/>
              </w:rPr>
              <w:t>A4-Layout, Deckblatt, Abstract, Kurzgliederung, schlankes Inhaltsverzeichnis, Tabellenbreiten, Fussnoten und PDF-Renderlauf wurden fuer die Druckfassung geprueft.</w:t>
            </w:r>
          </w:p>
        </w:tc>
      </w:tr>
    </w:tbl>
    <w:p>
      <w:pPr>
        <w:pStyle w:val="Heading2"/>
      </w:pPr>
      <w:r>
        <w:t>Druckpaket</w:t>
      </w:r>
    </w:p>
    <w:tbl>
      <w:tblPr>
        <w:tblStyle w:val="TableGrid"/>
        <w:tblW w:type="dxa" w:w="9000"/>
        <w:jc w:val="left"/>
        <w:tblLayout w:type="fixed"/>
        <w:tblLook w:firstColumn="1" w:firstRow="1" w:lastColumn="0" w:lastRow="0" w:noHBand="0" w:noVBand="1" w:val="04A0"/>
      </w:tblPr>
      <w:tblGrid>
        <w:gridCol w:w="3058"/>
        <w:gridCol w:w="3058"/>
        <w:gridCol w:w="3058"/>
      </w:tblGrid>
      <w:tr>
        <w:trPr>
          <w:tblHeader w:val="true"/>
        </w:trPr>
        <w:tc>
          <w:tcPr>
            <w:tcW w:type="dxa" w:w="2400"/>
            <w:vAlign w:val="top"/>
            <w:shd w:fill="F1F3F4"/>
          </w:tcPr>
          <w:p>
            <w:r/>
            <w:r>
              <w:rPr>
                <w:rFonts w:ascii="Arial" w:hAnsi="Arial"/>
                <w:b/>
                <w:sz w:val="16"/>
              </w:rPr>
              <w:t>Bestandteil</w:t>
            </w:r>
          </w:p>
        </w:tc>
        <w:tc>
          <w:tcPr>
            <w:tcW w:type="dxa" w:w="3300"/>
            <w:vAlign w:val="top"/>
            <w:shd w:fill="F1F3F4"/>
          </w:tcPr>
          <w:p>
            <w:r/>
            <w:r>
              <w:rPr>
                <w:rFonts w:ascii="Arial" w:hAnsi="Arial"/>
                <w:b/>
                <w:sz w:val="16"/>
              </w:rPr>
              <w:t>Datei/Material</w:t>
            </w:r>
          </w:p>
        </w:tc>
        <w:tc>
          <w:tcPr>
            <w:tcW w:type="dxa" w:w="3300"/>
            <w:vAlign w:val="top"/>
            <w:shd w:fill="F1F3F4"/>
          </w:tcPr>
          <w:p>
            <w:r/>
            <w:r>
              <w:rPr>
                <w:rFonts w:ascii="Arial" w:hAnsi="Arial"/>
                <w:b/>
                <w:sz w:val="16"/>
              </w:rPr>
              <w:t>Druckentscheidung</w:t>
            </w:r>
          </w:p>
        </w:tc>
      </w:tr>
      <w:tr>
        <w:tc>
          <w:tcPr>
            <w:tcW w:type="dxa" w:w="2400"/>
            <w:vAlign w:val="top"/>
          </w:tcPr>
          <w:p>
            <w:r/>
            <w:r>
              <w:rPr>
                <w:rFonts w:ascii="Arial" w:hAnsi="Arial"/>
                <w:b w:val="0"/>
                <w:sz w:val="16"/>
              </w:rPr>
              <w:t>Hauptband</w:t>
            </w:r>
          </w:p>
        </w:tc>
        <w:tc>
          <w:tcPr>
            <w:tcW w:type="dxa" w:w="3300"/>
            <w:vAlign w:val="top"/>
          </w:tcPr>
          <w:p>
            <w:r/>
            <w:r>
              <w:rPr>
                <w:rFonts w:ascii="Arial" w:hAnsi="Arial"/>
                <w:b w:val="0"/>
                <w:sz w:val="16"/>
              </w:rPr>
              <w:t>Bibelanalyse_Wissenschaftliche_Lesefassung_Druckfassung_V1.docx / .pdf</w:t>
            </w:r>
          </w:p>
        </w:tc>
        <w:tc>
          <w:tcPr>
            <w:tcW w:type="dxa" w:w="3300"/>
            <w:vAlign w:val="top"/>
          </w:tcPr>
          <w:p>
            <w:r/>
            <w:r>
              <w:rPr>
                <w:rFonts w:ascii="Arial" w:hAnsi="Arial"/>
                <w:b w:val="0"/>
                <w:sz w:val="16"/>
              </w:rPr>
              <w:t>Immer drucken.</w:t>
            </w:r>
          </w:p>
        </w:tc>
      </w:tr>
      <w:tr>
        <w:tc>
          <w:tcPr>
            <w:tcW w:type="dxa" w:w="2400"/>
            <w:vAlign w:val="top"/>
          </w:tcPr>
          <w:p>
            <w:r/>
            <w:r>
              <w:rPr>
                <w:rFonts w:ascii="Arial" w:hAnsi="Arial"/>
                <w:b w:val="0"/>
                <w:sz w:val="16"/>
              </w:rPr>
              <w:t>Anlagenband A-N</w:t>
            </w:r>
          </w:p>
        </w:tc>
        <w:tc>
          <w:tcPr>
            <w:tcW w:type="dxa" w:w="3300"/>
            <w:vAlign w:val="top"/>
          </w:tcPr>
          <w:p>
            <w:r/>
            <w:r>
              <w:rPr>
                <w:rFonts w:ascii="Arial" w:hAnsi="Arial"/>
                <w:b w:val="0"/>
                <w:sz w:val="16"/>
              </w:rPr>
              <w:t>Alle im Anlagenverzeichnis genannten Arbeitsdossiers</w:t>
            </w:r>
          </w:p>
        </w:tc>
        <w:tc>
          <w:tcPr>
            <w:tcW w:type="dxa" w:w="3300"/>
            <w:vAlign w:val="top"/>
          </w:tcPr>
          <w:p>
            <w:r/>
            <w:r>
              <w:rPr>
                <w:rFonts w:ascii="Arial" w:hAnsi="Arial"/>
                <w:b w:val="0"/>
                <w:sz w:val="16"/>
              </w:rPr>
              <w:t>Bei wissenschaftlicher Vollpruefung separat drucken oder digital beilegen.</w:t>
            </w:r>
          </w:p>
        </w:tc>
      </w:tr>
      <w:tr>
        <w:tc>
          <w:tcPr>
            <w:tcW w:type="dxa" w:w="2400"/>
            <w:vAlign w:val="top"/>
          </w:tcPr>
          <w:p>
            <w:r/>
            <w:r>
              <w:rPr>
                <w:rFonts w:ascii="Arial" w:hAnsi="Arial"/>
                <w:b w:val="0"/>
                <w:sz w:val="16"/>
              </w:rPr>
              <w:t>Quellenregister/lokale Konvertierungen</w:t>
            </w:r>
          </w:p>
        </w:tc>
        <w:tc>
          <w:tcPr>
            <w:tcW w:type="dxa" w:w="3300"/>
            <w:vAlign w:val="top"/>
          </w:tcPr>
          <w:p>
            <w:r/>
            <w:r>
              <w:rPr>
                <w:rFonts w:ascii="Arial" w:hAnsi="Arial"/>
                <w:b w:val="0"/>
                <w:sz w:val="16"/>
              </w:rPr>
              <w:t>CSV-Register und konvertierte DOCX-Sammlung</w:t>
            </w:r>
          </w:p>
        </w:tc>
        <w:tc>
          <w:tcPr>
            <w:tcW w:type="dxa" w:w="3300"/>
            <w:vAlign w:val="top"/>
          </w:tcPr>
          <w:p>
            <w:r/>
            <w:r>
              <w:rPr>
                <w:rFonts w:ascii="Arial" w:hAnsi="Arial"/>
                <w:b w:val="0"/>
                <w:sz w:val="16"/>
              </w:rPr>
              <w:t>Digital beilegen; Ausdruck nur bei Detailaudit.</w:t>
            </w:r>
          </w:p>
        </w:tc>
      </w:tr>
      <w:tr>
        <w:tc>
          <w:tcPr>
            <w:tcW w:type="dxa" w:w="2400"/>
            <w:vAlign w:val="top"/>
          </w:tcPr>
          <w:p>
            <w:r/>
            <w:r>
              <w:rPr>
                <w:rFonts w:ascii="Arial" w:hAnsi="Arial"/>
                <w:b w:val="0"/>
                <w:sz w:val="16"/>
              </w:rPr>
              <w:t>Google-Docs-Fassung</w:t>
            </w:r>
          </w:p>
        </w:tc>
        <w:tc>
          <w:tcPr>
            <w:tcW w:type="dxa" w:w="3300"/>
            <w:vAlign w:val="top"/>
          </w:tcPr>
          <w:p>
            <w:r/>
            <w:r>
              <w:rPr>
                <w:rFonts w:ascii="Arial" w:hAnsi="Arial"/>
                <w:b w:val="0"/>
                <w:sz w:val="16"/>
              </w:rPr>
              <w:t>Bibelanalyse_Wissenschaftliche_Lesefassung_Druckfassung_V1_google_docs.docx</w:t>
            </w:r>
          </w:p>
        </w:tc>
        <w:tc>
          <w:tcPr>
            <w:tcW w:type="dxa" w:w="3300"/>
            <w:vAlign w:val="top"/>
          </w:tcPr>
          <w:p>
            <w:r/>
            <w:r>
              <w:rPr>
                <w:rFonts w:ascii="Arial" w:hAnsi="Arial"/>
                <w:b w:val="0"/>
                <w:sz w:val="16"/>
              </w:rPr>
              <w:t>Nur fuer mobile/Online-Pruefung; nicht die primaere Druckfassung.</w:t>
            </w:r>
          </w:p>
        </w:tc>
      </w:tr>
    </w:tbl>
    <w:sectPr w:rsidR="00FC693F" w:rsidRPr="0006063C" w:rsidSect="00034616">
      <w:footerReference w:type="default" r:id="rId9"/>
      <w:pgSz w:w="11909" w:h="16834"/>
      <w:pgMar w:top="1368" w:right="1368" w:bottom="1224" w:left="1368" w:header="648" w:footer="64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7"/>
      </w:rPr>
      <w:t xml:space="preserve">Bibelanalyse - validierte wissenschaftliche Lesefassung V1 | Seite </w:t>
    </w:r>
    <w:r>
      <w:fldChar w:fldCharType="begin"/>
      <w:instrText xml:space="preserve">PAGE</w:instrText>
      <w:fldChar w:fldCharType="separate"/>
      <w:t>1</w:t>
      <w:fldChar w:fldCharType="end"/>
    </w:r>
    <w:r>
      <w:rPr>
        <w:rFonts w:ascii="Arial" w:hAnsi="Arial"/>
        <w:color w:val="666666"/>
        <w:sz w:val="17"/>
      </w:rPr>
      <w:t xml:space="preserve"> von </w:t>
    </w:r>
    <w:r>
      <w:fldChar w:fldCharType="begin"/>
      <w:instrText xml:space="preserve">NUMPAGES</w:instrText>
      <w:fldChar w:fldCharType="separate"/>
      <w:t>1</w:t>
      <w:fldChar w:fldCharType="end"/>
    </w:r>
  </w:p>
</w:ftr>
</file>

<file path=word/footnotes.xml><?xml version="1.0" encoding="utf-8"?>
<w:footnotes xmlns:w="http://schemas.openxmlformats.org/wordprocessingml/2006/main">
  <w:footnote w:id="-1" w:type="separator">
    <w:p>
      <w:r>
        <w:separator/>
      </w:r>
    </w:p>
  </w:footnote>
  <w:footnote w:id="0" w:type="continuationSeparator">
    <w:p>
      <w:r>
        <w:continuationSeparator/>
      </w:r>
    </w:p>
  </w:footnote>
  <w:footnote w:id="1">
    <w:p>
      <w:r>
        <w:footnoteRef/>
      </w:r>
      <w:r>
        <w:t> [Forschung] These zur Entstehung der JHWH-Religion im kanaanaeisch-westsemitischen Religionsraum: Vgl. Hasel; Faust; Gadot; Mark S. Smith; Anderson.</w:t>
      </w:r>
    </w:p>
  </w:footnote>
  <w:footnote w:id="2">
    <w:p>
      <w:r>
        <w:footnoteRef/>
      </w:r>
      <w:r>
        <w:t> [Epigraphik/Archaeologie] Methodische Leitthese und Beleggrade: Primaertexte, Archaeologie/Epigraphik, Sekundaerliteratur und eigene Thesenbildung getrennt behandeln; Vgl. Kapitel 10-13 dieser Arbeit.</w:t>
      </w:r>
    </w:p>
  </w:footnote>
  <w:footnote w:id="3">
    <w:p>
      <w:r>
        <w:footnoteRef/>
      </w:r>
      <w:r>
        <w:t> [Epigraphik/Archaeologie] Merenptah-Stele und Israel in Kanaan um 1208/1207 v. Chr.: Hasel 1994; Vgl. auch Faust und Gadot zur Ethnogenese.</w:t>
      </w:r>
    </w:p>
  </w:footnote>
  <w:footnote w:id="4">
    <w:p>
      <w:r>
        <w:footnoteRef/>
      </w:r>
      <w:r>
        <w:t> [Forschung] Ethnogenese Israels aus kanaanaeischen/gemischten Hochlandgruppen: Faust 2015; Gadot 2019; Hasel 1994.</w:t>
      </w:r>
    </w:p>
  </w:footnote>
  <w:footnote w:id="5">
    <w:p>
      <w:r>
        <w:footnoteRef/>
      </w:r>
      <w:r>
        <w:t> [Ugarit/Traditionsvergleich] Westsemitisch-kanaanaeischer Religionshintergrund mit El, Athirat/Aschera, Baal/Hadad und lokalen Kulten: Mark S. Smith; Smith/Pitard; Wyatt; Noll.</w:t>
      </w:r>
    </w:p>
  </w:footnote>
  <w:footnote w:id="6">
    <w:p>
      <w:r>
        <w:footnoteRef/>
      </w:r>
      <w:r>
        <w:t> [Forschung] El als Hochgott, Vater-, Schoepfer-, Koenigs-, Richter- und Ratsfigur; Identifikation/Verschmelzung JHWHs mit El: Mark S. Smith; Anderson; Noll.</w:t>
      </w:r>
    </w:p>
  </w:footnote>
  <w:footnote w:id="7">
    <w:p>
      <w:r>
        <w:footnoteRef/>
      </w:r>
      <w:r>
        <w:t> [Ugarit/Traditionsvergleich] Goettlicher Rat als Scharnier: Ugarit, Psalm 82 und Dtn 32,8-9; Vgl. Tov; Hendel; Heiser; McClellan; Thompson; Andresen.</w:t>
      </w:r>
    </w:p>
  </w:footnote>
  <w:footnote w:id="8">
    <w:p>
      <w:r>
        <w:footnoteRef/>
      </w:r>
      <w:r>
        <w:t> [Epigraphik/Archaeologie] Aschera und Baal/Hadad als Anschlussprobleme: Kuntillet Ajrud/Khirbet el-Qom, Aschera-Deutung, Baal-Motivuebernahme; Vgl. Schniedewind; Hadley; Olyan; Kim; Stahl; Toyraanvuori.</w:t>
      </w:r>
    </w:p>
  </w:footnote>
  <w:footnote w:id="9">
    <w:p>
      <w:r>
        <w:footnoteRef/>
      </w:r>
      <w:r>
        <w:t> [Ugarit/Traditionsvergleich] Grenze der Identitaetsthese und tragfaehiges Transformationsmodell: Mark S. Smith; Smith/Pitard; Stahl; ORACC zu Anunna/Anunnaki als Vergleichsgrenze.</w:t>
      </w:r>
    </w:p>
  </w:footnote>
  <w:footnote w:id="10">
    <w:p>
      <w:r>
        <w:footnoteRef/>
      </w:r>
      <w:r>
        <w:t> [Forschung] Schlussbefund Kapitel 1: kanaanaeisch-westsemitischer Ausgangsraum, El als Hauptbezugspunkt, Baal/Aschera/mesopotamische Parallelen als Funktions-, Einfluss- und Vergleichsfelder.</w:t>
      </w:r>
    </w:p>
  </w:footnote>
  <w:footnote w:id="11">
    <w:p>
      <w:r>
        <w:footnoteRef/>
      </w:r>
      <w:r>
        <w:t> [Primaertext] These zu Dtn 32/Ps 82: Vgl. Mark S. Smith; Tov; Thompson; Andresen.</w:t>
      </w:r>
    </w:p>
  </w:footnote>
  <w:footnote w:id="12">
    <w:p>
      <w:r>
        <w:footnoteRef/>
      </w:r>
      <w:r>
        <w:t> [Textkritik] Dtn 32,8 Varianten: MT, 4QDeutj, LXX; Vgl. Tov, Hendel, Joosten.</w:t>
      </w:r>
    </w:p>
  </w:footnote>
  <w:footnote w:id="13">
    <w:p>
      <w:r>
        <w:footnoteRef/>
      </w:r>
      <w:r>
        <w:t> [Textkritik] Lectio difficilior und monotheistische Glaettung: Tov; Hendel; Heiser.</w:t>
      </w:r>
    </w:p>
  </w:footnote>
  <w:footnote w:id="14">
    <w:p>
      <w:r>
        <w:footnoteRef/>
      </w:r>
      <w:r>
        <w:t> [Primaertext] JHWH als Anteil Israels in Dtn 32,8-9: Smith; Heiser; Tov.</w:t>
      </w:r>
    </w:p>
  </w:footnote>
  <w:footnote w:id="15">
    <w:p>
      <w:r>
        <w:footnoteRef/>
      </w:r>
      <w:r>
        <w:t> [Primaertext] Psalm 82,1-8 als goettlicher Rat und Gerichtsszene; Vgl. McClellan; Thompson.</w:t>
      </w:r>
    </w:p>
  </w:footnote>
  <w:footnote w:id="16">
    <w:p>
      <w:r>
        <w:footnoteRef/>
      </w:r>
      <w:r>
        <w:t> [Primaertext] Neuere Psalm-82-Deutungen: Andresen 2026; Thompson 2024; McClellan 2015.</w:t>
      </w:r>
    </w:p>
  </w:footnote>
  <w:footnote w:id="17">
    <w:p>
      <w:r>
        <w:footnoteRef/>
      </w:r>
      <w:r>
        <w:t> [Primaertext] 1 Koen 22,19-23 als himmlische Rats-/Hofstaatsszene: JHWH thront, das Heer des Himmels steht um ihn, ein Geist uebernimmt einen Auftrag; Vgl. auch Hiob 1-2 als verwandte himmlische Ratsszene.</w:t>
      </w:r>
    </w:p>
  </w:footnote>
  <w:footnote w:id="18">
    <w:p>
      <w:r>
        <w:footnoteRef/>
      </w:r>
      <w:r>
        <w:t> [Altorientalischer Vergleich] Abgrenzung elohim/Anunnaki: hebr. Begriffsfeld vs. mesopotamische Goettergruppe; Vgl. ORACC.</w:t>
      </w:r>
    </w:p>
  </w:footnote>
  <w:footnote w:id="19">
    <w:p>
      <w:r>
        <w:footnoteRef/>
      </w:r>
      <w:r>
        <w:t> [Ugarit/Traditionsvergleich] Ugarit/Ras Schamra als westsemitischer Vergleichsrahmen: Smith; Smith/Pitard; Wyatt.</w:t>
      </w:r>
    </w:p>
  </w:footnote>
  <w:footnote w:id="20">
    <w:p>
      <w:r>
        <w:footnoteRef/>
      </w:r>
      <w:r>
        <w:t> [Ugarit/Traditionsvergleich] Methodische Grenze Ugarit/Israel: Ugarit ist Vergleich, nicht direkte Israelquelle; Vgl. Smith; Noll.</w:t>
      </w:r>
    </w:p>
  </w:footnote>
  <w:footnote w:id="21">
    <w:p>
      <w:r>
        <w:footnoteRef/>
      </w:r>
      <w:r>
        <w:t> [Ugarit/Traditionsvergleich] El/Ilu als Hochgott, Vater- und Ratsfigur: Smith; Wyatt; Smith/Pitard.</w:t>
      </w:r>
    </w:p>
  </w:footnote>
  <w:footnote w:id="22">
    <w:p>
      <w:r>
        <w:footnoteRef/>
      </w:r>
      <w:r>
        <w:t> [Ugarit/Traditionsvergleich] Athirat im Baal-Zyklus und als Mutter-/Vermittlerfigur: Smith/Pitard; Lexham Baal Cycle; Wyatt.</w:t>
      </w:r>
    </w:p>
  </w:footnote>
  <w:footnote w:id="23">
    <w:p>
      <w:r>
        <w:footnoteRef/>
      </w:r>
      <w:r>
        <w:t> [Ugarit/Traditionsvergleich] Baal/Hadad, Yam, Mot und Palastmotiv im Baal-Zyklus: Smith/Pitard; Lexham Baal Cycle.</w:t>
      </w:r>
    </w:p>
  </w:footnote>
  <w:footnote w:id="24">
    <w:p>
      <w:r>
        <w:footnoteRef/>
      </w:r>
      <w:r>
        <w:t> [Ugarit/Traditionsvergleich] 70 Soehne Athirats und Dtn 32-Vergleich: Intertextual.Bible; Wyatt, Archaeology of Myth, 69-70.</w:t>
      </w:r>
    </w:p>
  </w:footnote>
  <w:footnote w:id="25">
    <w:p>
      <w:r>
        <w:footnoteRef/>
      </w:r>
      <w:r>
        <w:t> [Ugarit/Traditionsvergleich] Ugaritische Goettergruppen: Rahmouni, The Gods of Mount Sapanu, 2023.</w:t>
      </w:r>
    </w:p>
  </w:footnote>
  <w:footnote w:id="26">
    <w:p>
      <w:r>
        <w:footnoteRef/>
      </w:r>
      <w:r>
        <w:t> [Ugarit/Traditionsvergleich] Folgerung fuer Identitaets-/Transformationsthese: Smith; Smith/Pitard; Kapitel 9 dieser Arbeit.</w:t>
      </w:r>
    </w:p>
  </w:footnote>
  <w:footnote w:id="27">
    <w:p>
      <w:r>
        <w:footnoteRef/>
      </w:r>
      <w:r>
        <w:t> [Forschung] Aschera-Grundbefund und Streitstand: Smoak/Schniedewind; Olyan; Kim; Hadley.</w:t>
      </w:r>
    </w:p>
  </w:footnote>
  <w:footnote w:id="28">
    <w:p>
      <w:r>
        <w:footnoteRef/>
      </w:r>
      <w:r>
        <w:t> [Epigraphik/Archaeologie] Kuntillet Ajrud, JHWH von Samaria/Teman und 'seine asherah': Smoak/Schniedewind 2019.</w:t>
      </w:r>
    </w:p>
  </w:footnote>
  <w:footnote w:id="29">
    <w:p>
      <w:r>
        <w:footnoteRef/>
      </w:r>
      <w:r>
        <w:t> [Epigraphik/Archaeologie] Kuntillet Ajrud als Alltags-, Schreib- und Inschriftenkontext: Smoak/Schniedewind; Finger of the Scribe.</w:t>
      </w:r>
    </w:p>
  </w:footnote>
  <w:footnote w:id="30">
    <w:p>
      <w:r>
        <w:footnoteRef/>
      </w:r>
      <w:r>
        <w:t> [Epigraphik/Archaeologie] Pithos-Zeichnungen und unsichere Bild-Inschrift-Verbindung: Smoak/Schniedewind; Hadley; Kim.</w:t>
      </w:r>
    </w:p>
  </w:footnote>
  <w:footnote w:id="31">
    <w:p>
      <w:r>
        <w:footnoteRef/>
      </w:r>
      <w:r>
        <w:t> [Epigraphik/Archaeologie] Khirbet el-Qom-Inschrift, Datierung und Lesungsprobleme: Zevit; Hadley; Olyan.</w:t>
      </w:r>
    </w:p>
  </w:footnote>
  <w:footnote w:id="32">
    <w:p>
      <w:r>
        <w:footnoteRef/>
      </w:r>
      <w:r>
        <w:t> [Forschung] Deutungsstreit Goettin vs. Kultsymbol: Zevit; Binger; Olyan; Kim; Hess.</w:t>
      </w:r>
    </w:p>
  </w:footnote>
  <w:footnote w:id="33">
    <w:p>
      <w:r>
        <w:footnoteRef/>
      </w:r>
      <w:r>
        <w:t> [Forschung] Volksreligion vs. normative Bibeltheologie: Hadley; Olyan; Smoak/Schniedewind.</w:t>
      </w:r>
    </w:p>
  </w:footnote>
  <w:footnote w:id="34">
    <w:p>
      <w:r>
        <w:footnoteRef/>
      </w:r>
      <w:r>
        <w:t> [Forschung] Grenze Aschera/Maria/Christologie: eisenzeitlicher Befund getrennt von NT und Mariologie behandeln.</w:t>
      </w:r>
    </w:p>
  </w:footnote>
  <w:footnote w:id="35">
    <w:p>
      <w:r>
        <w:footnoteRef/>
      </w:r>
      <w:r>
        <w:t> [Altorientalischer Vergleich] Baal/Hadad/Adad als Wettergott-Komplex; JHWH als Funktionsuebernahme statt Identitaet: Smith; Stahl; Toyraanvuori.</w:t>
      </w:r>
    </w:p>
  </w:footnote>
  <w:footnote w:id="36">
    <w:p>
      <w:r>
        <w:footnoteRef/>
      </w:r>
      <w:r>
        <w:t> [Ugarit/Traditionsvergleich] Baal/Hadad/Adad/Ishkur: ORACC Ishkur/Adad; Encyclopedia.com Hadad; Smith/Pitard Baal Cycle.</w:t>
      </w:r>
    </w:p>
  </w:footnote>
  <w:footnote w:id="37">
    <w:p>
      <w:r>
        <w:footnoteRef/>
      </w:r>
      <w:r>
        <w:t> [Ugarit/Traditionsvergleich] Namens- und Traditionsverschiebungen bei Sturmgottheiten: ORACC; Encyclopedia.com Hadad; Smith/Pitard.</w:t>
      </w:r>
    </w:p>
  </w:footnote>
  <w:footnote w:id="38">
    <w:p>
      <w:r>
        <w:footnoteRef/>
      </w:r>
      <w:r>
        <w:t> [Ugarit/Traditionsvergleich] Psalm 29 und Sturmgott-Sprache: Toyraanvuori 2020; Smith; Baal-Zyklus-Vergleich.</w:t>
      </w:r>
    </w:p>
  </w:footnote>
  <w:footnote w:id="39">
    <w:p>
      <w:r>
        <w:footnoteRef/>
      </w:r>
      <w:r>
        <w:t> [Ugarit/Traditionsvergleich] Chaoskampf, Yam, Mot, Litan/Leviathan und JHWH-Motive: Smith/Pitard; Smith; Toyraanvuori.</w:t>
      </w:r>
    </w:p>
  </w:footnote>
  <w:footnote w:id="40">
    <w:p>
      <w:r>
        <w:footnoteRef/>
      </w:r>
      <w:r>
        <w:t> [Primaertext] Baal-Polemik, Wasser und Regen: Woods 2003; deuteronomistische Konkurrenzrhetorik.</w:t>
      </w:r>
    </w:p>
  </w:footnote>
  <w:footnote w:id="41">
    <w:p>
      <w:r>
        <w:footnoteRef/>
      </w:r>
      <w:r>
        <w:t> [Forschung] JHWH und Baal im Nordreich/Omriden-Kontext: Stahl 2021; BAS Battle of the Gods.</w:t>
      </w:r>
    </w:p>
  </w:footnote>
  <w:footnote w:id="42">
    <w:p>
      <w:r>
        <w:footnoteRef/>
      </w:r>
      <w:r>
        <w:t> [Forschung] Funktionsuebernahme statt direkter Identitaet: Stahl; Toyraanvuori; Mark S. Smith.</w:t>
      </w:r>
    </w:p>
  </w:footnote>
  <w:footnote w:id="43">
    <w:p>
      <w:r>
        <w:footnoteRef/>
      </w:r>
      <w:r>
        <w:t> [Primaertext] Second-Temple-Umdeutung himmlischer Wesen: Reed; Nickelsburg; Reynolds; DSS/War Scroll.</w:t>
      </w:r>
    </w:p>
  </w:footnote>
  <w:footnote w:id="44">
    <w:p>
      <w:r>
        <w:footnoteRef/>
      </w:r>
      <w:r>
        <w:t> [Methodik/Redaktion] Methodische Grenze: Engel/Waechter/Daemonen nicht unkritisch in fruehisraelitische Phasen rueckprojizieren; Vgl. Reed; Smith.</w:t>
      </w:r>
    </w:p>
  </w:footnote>
  <w:footnote w:id="45">
    <w:p>
      <w:r>
        <w:footnoteRef/>
      </w:r>
      <w:r>
        <w:t> [Primaertext] Genesis 6,1-4 und 1 Henoch/Buch der Waechter: Watchers-Tradition; Nickelsburg; Reed.</w:t>
      </w:r>
    </w:p>
  </w:footnote>
  <w:footnote w:id="46">
    <w:p>
      <w:r>
        <w:footnoteRef/>
      </w:r>
      <w:r>
        <w:t> [Forschung] Waechter als himmlische Wesen und fruehjuedische Engel-/Daemonenvorstellungen: Reed; Watchers in Jewish and Christian Traditions.</w:t>
      </w:r>
    </w:p>
  </w:footnote>
  <w:footnote w:id="47">
    <w:p>
      <w:r>
        <w:footnoteRef/>
      </w:r>
      <w:r>
        <w:t> [Primaertext] Jubilaeen, boese Geister nach der Flut und Mastema: Tronina; Patmore; Jubilaeen 10.</w:t>
      </w:r>
    </w:p>
  </w:footnote>
  <w:footnote w:id="48">
    <w:p>
      <w:r>
        <w:footnoteRef/>
      </w:r>
      <w:r>
        <w:t> [Primaertext] Dead Sea Scrolls/War Scroll: Sons of Light, Sons of Darkness, Michael/Prince of Light und Belial; Israel Museum; Reynolds.</w:t>
      </w:r>
    </w:p>
  </w:footnote>
  <w:footnote w:id="49">
    <w:p>
      <w:r>
        <w:footnoteRef/>
      </w:r>
      <w:r>
        <w:t> [Forschung] Satan/Lucifer/Belial/Mastema als komplexe Entwicklung statt einfacher alttestamentlicher Identitaet: Oxford Bibliographies Satan; Atkinson.</w:t>
      </w:r>
    </w:p>
  </w:footnote>
  <w:footnote w:id="50">
    <w:p>
      <w:r>
        <w:footnoteRef/>
      </w:r>
      <w:r>
        <w:t> [Altorientalischer Vergleich] Anunnaki = Elohim = Waechter = Daemonen ist nicht belegt; tragfaehig ist Vergleich von Rats-, Himmelswesen- und Daemonologiemotiven.</w:t>
      </w:r>
    </w:p>
  </w:footnote>
  <w:footnote w:id="51">
    <w:p>
      <w:r>
        <w:footnoteRef/>
      </w:r>
      <w:r>
        <w:t> [Primaertext] These Anunnaki/Elohim/Nephilim: Vergleichs- und Einflussfrage ja; direkte Identitaet nicht belegt; Vgl. ORACC; Gen 6; Num 13; 1 Henoch.</w:t>
      </w:r>
    </w:p>
  </w:footnote>
  <w:footnote w:id="52">
    <w:p>
      <w:r>
        <w:footnoteRef/>
      </w:r>
      <w:r>
        <w:t> [Altorientalischer Vergleich] Anunna/Anunnaki als variable mesopotamische Goettergruppe: ORACC Anunna; An/Anu; mesopotamische Pantheonkontexte.</w:t>
      </w:r>
    </w:p>
  </w:footnote>
  <w:footnote w:id="53">
    <w:p>
      <w:r>
        <w:footnoteRef/>
      </w:r>
      <w:r>
        <w:t> [Altorientalischer Vergleich] Anunnaki-Funktionen: Schicksalsentscheidung, Unterweltsrichter, Enuma Elish VI und Marduks Ordnung der Goetter; Vgl. Lambert.</w:t>
      </w:r>
    </w:p>
  </w:footnote>
  <w:footnote w:id="54">
    <w:p>
      <w:r>
        <w:footnoteRef/>
      </w:r>
      <w:r>
        <w:t> [Primaertext] Elohim als hebraeischer Kontextbegriff und goettlicher Rat: Ps 82; Dtn 32; 1 Koen 22; Hiob 1-2; siehe Kapitel 2.</w:t>
      </w:r>
    </w:p>
  </w:footnote>
  <w:footnote w:id="55">
    <w:p>
      <w:r>
        <w:footnoteRef/>
      </w:r>
      <w:r>
        <w:t> [Primaertext] Nephilim-Primarstellen: Genesis 6,4 und Numeri 13,33; Verbindung mit Anakim/Riesenvoelkertraditionen.</w:t>
      </w:r>
    </w:p>
  </w:footnote>
  <w:footnote w:id="56">
    <w:p>
      <w:r>
        <w:footnoteRef/>
      </w:r>
      <w:r>
        <w:t> [Primaertext] Nephilim-Forschung und Second-Temple-Auslegung: Jang 2025; 1 Henoch/Buch der Waechter; Kapitel 6.</w:t>
      </w:r>
    </w:p>
  </w:footnote>
  <w:footnote w:id="57">
    <w:p>
      <w:r>
        <w:footnoteRef/>
      </w:r>
      <w:r>
        <w:t> [Forschung] Gemeinsamer altorientalischer Motivraum: Goetterrat, Urzeit, Flut, Riesen, Schicksalsentscheidung, himmlische Wesen; Vergleich statt Gleichsetzung.</w:t>
      </w:r>
    </w:p>
  </w:footnote>
  <w:footnote w:id="58">
    <w:p>
      <w:r>
        <w:footnoteRef/>
      </w:r>
      <w:r>
        <w:t> [Altorientalischer Vergleich] Marduk, Namen und Machtbuendelung: Enuma Elish; Matsushima 2008; Shibata 2006; strukturelle Parallele zu JHWH-Funktionsuebernahmen.</w:t>
      </w:r>
    </w:p>
  </w:footnote>
  <w:footnote w:id="59">
    <w:p>
      <w:r>
        <w:footnoteRef/>
      </w:r>
      <w:r>
        <w:t> [Forschung] These Gewalt/Opfer/Gericht: Firestone; Luelik; Botha; Levine; Smelik; Levenson; Seri-Levi.</w:t>
      </w:r>
    </w:p>
  </w:footnote>
  <w:footnote w:id="60">
    <w:p>
      <w:r>
        <w:footnoteRef/>
      </w:r>
      <w:r>
        <w:t> [Primaertext] JHWH als goettlicher Krieger und Lager-/Tabernakelmotiv: Ex 15,3; Firestone; TheTorah Tabernakel im altorientalischen Kontext.</w:t>
      </w:r>
    </w:p>
  </w:footnote>
  <w:footnote w:id="61">
    <w:p>
      <w:r>
        <w:footnoteRef/>
      </w:r>
      <w:r>
        <w:t> [Primaertext] Direkte Antwort auf Gewalt-/Angstthese: Deuteronomische Segen-Fluch-Theologie, Herem, Kultvernichtung und JHWH-Kriegerbild; Botha; Niditch; Firestone.</w:t>
      </w:r>
    </w:p>
  </w:footnote>
  <w:footnote w:id="62">
    <w:p>
      <w:r>
        <w:footnoteRef/>
      </w:r>
      <w:r>
        <w:t> [Primaertext] Plagen und aegyptische Goetterfrage: Ex 12,12 als israelitische Gerichtspolemik; Zevit/TheTorah; Zuordnung einzelner Plagen zu einzelnen Gottheiten bleibt strittig.</w:t>
      </w:r>
    </w:p>
  </w:footnote>
  <w:footnote w:id="63">
    <w:p>
      <w:r>
        <w:footnoteRef/>
      </w:r>
      <w:r>
        <w:t> [Primaertext] Herem/Bannkrieg in Dtn 7, Dtn 20, Num 21 und Josua: TheTorah Herem Law; Botha; Firestone.</w:t>
      </w:r>
    </w:p>
  </w:footnote>
  <w:footnote w:id="64">
    <w:p>
      <w:r>
        <w:footnoteRef/>
      </w:r>
      <w:r>
        <w:t> [Epigraphik/Archaeologie] Gewalt als Durchsetzung exklusiver Loyalitaet und historische Unsicherheit der Vernichtungserzaehlungen: Luelik; Botha; arch. Debatte.</w:t>
      </w:r>
    </w:p>
  </w:footnote>
  <w:footnote w:id="65">
    <w:p>
      <w:r>
        <w:footnoteRef/>
      </w:r>
      <w:r>
        <w:t> [Forschung] Tieropfer im altorientalischen Kultkontext und als Naehe-/Gabenritual: Baruch Levine; Levitikus; altorientalische Parallelen.</w:t>
      </w:r>
    </w:p>
  </w:footnote>
  <w:footnote w:id="66">
    <w:p>
      <w:r>
        <w:footnoteRef/>
      </w:r>
      <w:r>
        <w:t> [Primaertext] Opferkritik, sakrale Schlachtung und innere Entwicklung weg von Opferzentralitaet: Satlow; Gudme; Psalm 50; prophetische Kritik.</w:t>
      </w:r>
    </w:p>
  </w:footnote>
  <w:footnote w:id="67">
    <w:p>
      <w:r>
        <w:footnoteRef/>
      </w:r>
      <w:r>
        <w:t> [Primaertext] Genesis 22, Erstgeburt und Opfer des geliebten Sohnes als Transformationsmotiv: Levenson; Gen 22.</w:t>
      </w:r>
    </w:p>
  </w:footnote>
  <w:footnote w:id="68">
    <w:p>
      <w:r>
        <w:footnoteRef/>
      </w:r>
      <w:r>
        <w:t> [Forschung] Kinderopfer/Molekh und moegliche Naehe zum JHWH-Kult: Smelik; Levenson; Jer/Ez/Molech-Polemik.</w:t>
      </w:r>
    </w:p>
  </w:footnote>
  <w:footnote w:id="69">
    <w:p>
      <w:r>
        <w:footnoteRef/>
      </w:r>
      <w:r>
        <w:t> [Primaertext] Exodus-Plagen als Machterweis und Gericht an Aegyptens Goettern: Ex 7-12; Ex 12,12; BAS/Zevit Plagendeutungen.</w:t>
      </w:r>
    </w:p>
  </w:footnote>
  <w:footnote w:id="70">
    <w:p>
      <w:r>
        <w:footnoteRef/>
      </w:r>
      <w:r>
        <w:t> [Primaertext] Monotheistische Zuspitzung des Gewaltproblems: El/JHWH-Identifikation, Wegfall hoeherer Kontrollinstanz und deuteronomistische Eifersucht; Seri-Levi; Smith.</w:t>
      </w:r>
    </w:p>
  </w:footnote>
  <w:footnote w:id="71">
    <w:p>
      <w:r>
        <w:footnoteRef/>
      </w:r>
      <w:r>
        <w:t> [Forschung] Gewaltproblem im Monotheismus und spaetere Erklaerungsfiguren: goettlicher Rat, Engel, Satanfiguren, Daemonen und Endgericht; Vgl. Kapitel 6 sowie Smith und Reed.</w:t>
      </w:r>
    </w:p>
  </w:footnote>
  <w:footnote w:id="72">
    <w:p>
      <w:r>
        <w:footnoteRef/>
      </w:r>
      <w:r>
        <w:t> [Primaertext] Synthese nach Kapitel 8: Monotheisierung konzentriert Gewalt, Opfer, Plagen und Gericht im Herrschaftsbereich des einen Gottes; Vgl. Kapitel 8 sowie Firestone, Botha, Luelik und Seri-Levi.</w:t>
      </w:r>
    </w:p>
  </w:footnote>
  <w:footnote w:id="73">
    <w:p>
      <w:r>
        <w:footnoteRef/>
      </w:r>
      <w:r>
        <w:t> [Textkritik] Fuenf-Stufen-Modell als synthetische Rekonstruktion aus Textkritik, Ugarit, Inschriften, Second-Temple-Literatur, DSS und religionsgeschichtlichem Vergleich; Vgl. Kapitel 2-8.</w:t>
      </w:r>
    </w:p>
  </w:footnote>
  <w:footnote w:id="74">
    <w:p>
      <w:r>
        <w:footnoteRef/>
      </w:r>
      <w:r>
        <w:t> [Forschung] Synthese zur israelitischen Ethnogenese, El als Hochgottbezug und JHWH/El-Identifikation: Hasel; Faust; Gadot; Mark S. Smith; Anderson.</w:t>
      </w:r>
    </w:p>
  </w:footnote>
  <w:footnote w:id="75">
    <w:p>
      <w:r>
        <w:footnoteRef/>
      </w:r>
      <w:r>
        <w:t> [Epigraphik/Archaeologie] Zusammenfassung der Kernbefunde zu goettlichem Rat, Aschera, Baal/Hadad und Anunnaki-Vergleich: Dtn 32; Ps 82; Kuntillet Ajrud; Smith/Pitard; ORACC.</w:t>
      </w:r>
    </w:p>
  </w:footnote>
  <w:footnote w:id="76">
    <w:p>
      <w:r>
        <w:footnoteRef/>
      </w:r>
      <w:r>
        <w:t> [Forschung] Praezisierte Transformationsthese statt harter Identitaetsthese: Synkretismus, Funktionsuebernahme, Polemik und Umdeutung bei JHWH/El/Baal/Aschera; Vgl. Smith; Stahl; Toyraanvuori; Reed.</w:t>
      </w:r>
    </w:p>
  </w:footnote>
  <w:footnote w:id="77">
    <w:p>
      <w:r>
        <w:footnoteRef/>
      </w:r>
      <w:r>
        <w:t> [Forschung] Endstand der Kernthese: keine Totalidentitaet aller Gottheiten, sondern Absorption, Titeluebertragung, Funktionsuebernahme, Kultpolemik und spaetere Umdeutung; Vgl. Smith, Olyan, Stahl, Reed und Kapitel 1-8.</w:t>
      </w:r>
    </w:p>
  </w:footnote>
  <w:footnote w:id="78">
    <w:p>
      <w:r>
        <w:footnoteRef/>
      </w:r>
      <w:r>
        <w:t> [Textkritik] Wissenschaftlicher Ertrag der Verbindung von Textkritik, Ugarit, Archaeologie, Epigraphik, biblischer Polemik, Second-Temple-Literatur und ethischer Kritik.</w:t>
      </w:r>
    </w:p>
  </w:footnote>
  <w:footnote w:id="79">
    <w:p>
      <w:r>
        <w:footnoteRef/>
      </w:r>
      <w:r>
        <w:t> [Forschung] Status der Arbeit als Forschungs- und Ausarbeitungsfassung: wissenschaftliche Publikationsreife verlangt Quellenapparat, Zitierstandard, Literaturdaten und Reduktion von Dopplungen.</w:t>
      </w:r>
    </w:p>
  </w:footnote>
  <w:footnote w:id="80">
    <w:p>
      <w:r>
        <w:footnoteRef/>
      </w:r>
      <w:r>
        <w:t> [Textkritik] Fussnotenstil fuer Bibelwissenschaft/Religionsgeschichte: Chicago Notes/Bibliography oder deutscher geisteswissenschaftlicher Fussnotenstil wegen Primaerstellen- und Textvariantenbedarf.</w:t>
      </w:r>
    </w:p>
  </w:footnote>
  <w:footnote w:id="81">
    <w:p>
      <w:r>
        <w:footnoteRef/>
      </w:r>
      <w:r>
        <w:t> [Epigraphik/Archaeologie] Quellenhierarchie der Endfassung: Primaertexte, Inschriften/Archaeologie, Fachliteratur, fachnahe Onlinequellen, Arbeitsnotizen und spekulative/populaere Impulse getrennt bewerten.</w:t>
      </w:r>
    </w:p>
  </w:footnote>
  <w:footnote w:id="82">
    <w:p>
      <w:r>
        <w:footnoteRef/>
      </w:r>
      <w:r>
        <w:t> [Methodik/Redaktion] Sprachregel der Endredaktion: Motivvergleich, spaetere Deutung, biblische Polemik und historische Identitaetsbehauptung methodisch trennen.</w:t>
      </w:r>
    </w:p>
  </w:footnote>
  <w:footnote w:id="83">
    <w:p>
      <w:r>
        <w:footnoteRef/>
      </w:r>
      <w:r>
        <w:t> [Methodik/Redaktion] Redaktionsnorm fuer die weitere Arbeit: Antwortkapitel muessen Befund, Rekonstruktion, Streitposition, Nichtbeleg und Werturteil explizit unterscheiden.</w:t>
      </w:r>
    </w:p>
  </w:footnote>
  <w:footnote w:id="84">
    <w:p>
      <w:r>
        <w:footnoteRef/>
      </w:r>
      <w:r>
        <w:t> [Methodik/Redaktion] Claim-Audit als methodische Qualitaetssicherung: Eine Aussage beweist nur das, was ihre Quellenebene tatsaechlich traegt.</w:t>
      </w:r>
    </w:p>
  </w:footnote>
  <w:footnote w:id="85">
    <w:p>
      <w:r>
        <w:footnoteRef/>
      </w:r>
      <w:r>
        <w:t> [Methodik/Redaktion] Endfassungsgrundlage: Arbeitsbibliographie, Schlussbewertung und Fussnoten-/Endnotenplan dienen als Uebergang von Forschungsfassung zu wissenschaftlicher Lesefassung.</w:t>
      </w:r>
    </w:p>
  </w:footnote>
  <w:footnote w:id="86">
    <w:p>
      <w:r>
        <w:footnoteRef/>
      </w:r>
      <w:r>
        <w:t> [Altorientalischer Vergleich] Grenze der harten Identitaetsthese: unterschiedliche Sprachraeume, Korpora, Funktionen und historische Kontexte erlauben keine direkte Gleichsetzung JHWH = El = Baal = Marduk = Anunnaki.</w:t>
      </w:r>
    </w:p>
  </w:footnote>
  <w:footnote w:id="87">
    <w:p>
      <w:r>
        <w:footnoteRef/>
      </w:r>
      <w:r>
        <w:t> [Altorientalischer Vergleich] Schlussmodell der Transformationsthese: JHWH/El-Identifikation, Baal/Hadad-Funktionsuebernahme, Aschera-Verdraengung und Unterordnung himmlischer Wesen; Vgl. Smith; Olyan; Stahl; Reed.</w:t>
      </w:r>
    </w:p>
  </w:footnote>
  <w:footnote w:id="88">
    <w:p>
      <w:r>
        <w:footnoteRef/>
      </w:r>
      <w:r>
        <w:t> [Primaertext] Antwortstand nach Kapitel 1-10: fruehe Mehrzahl- und Ratsvorstellungen sind belegbar; die harte kulturuebergreifende Identitaetsthese bleibt unbelegt.</w:t>
      </w:r>
    </w:p>
  </w:footnote>
  <w:footnote w:id="89">
    <w:p>
      <w:r>
        <w:footnoteRef/>
      </w:r>
      <w:r>
        <w:t> [Forschung] Forschungsgrenzen: Herkunft JHWHs, genauer El/JHWH-Identifikationsprozess, Aschera-Deutung und direkte/indirekte mesopotamische Einfluesse bleiben Detailfragen.</w:t>
      </w:r>
    </w:p>
  </w:footnote>
  <w:footnote w:id="90">
    <w:p>
      <w:r>
        <w:footnoteRef/>
      </w:r>
      <w:r>
        <w:t> [Forschung] Vorlaeufiges Endurteil: wissenschaftlich tragfaehig ist ein Transformations-, Identifikations- und Absorptionsmodell, nicht eine direkte Identitaet aller Gottheiten.</w:t>
      </w:r>
    </w:p>
  </w:footnote>
  <w:footnote w:id="91">
    <w:p>
      <w:r>
        <w:footnoteRef/>
      </w:r>
      <w:r>
        <w:t> [Methodik/Redaktion] Aktueller technischer Fussnotenstand: Kapitel 1-13 und Anlage N besitzen echte Word-Fussnoten; offen bleiben Literaturdaten-Normalisierung und ausgewaehlte Anlagenstellen.</w:t>
      </w:r>
    </w:p>
  </w:footnote>
  <w:footnote w:id="92">
    <w:p>
      <w:r>
        <w:footnoteRef/>
      </w:r>
      <w:r>
        <w:t> [Methodik/Redaktion] Endredaktionsprinzip: antike Primaertexte, epigraphisch/archaeologische Befunde und moderne Forschungsauswertung getrennt belegen.</w:t>
      </w:r>
    </w:p>
  </w:footnote>
  <w:footnote w:id="93">
    <w:p>
      <w:r>
        <w:footnoteRef/>
      </w:r>
      <w:r>
        <w:t> [Methodik/Redaktion] Fussnotenapparat statt Klammerquellen: echte Word-Fussnoten als Standard der spaeteren Druckfassung; Abgleich mit Literaturverzeichnis erforderlich.</w:t>
      </w:r>
    </w:p>
  </w:footnote>
  <w:footnote w:id="94">
    <w:p>
      <w:r>
        <w:footnoteRef/>
      </w:r>
      <w:r>
        <w:t> [Methodik/Redaktion] Druckreife-Kriterien: Ein Kapitel braucht Leitfrage, Primaeranker, Forschungsanker, Beleggrad, Gegenargumente, Dopplungskontrolle und Layoutpruefung.</w:t>
      </w:r>
    </w:p>
  </w:footnote>
  <w:footnote w:id="95">
    <w:p>
      <w:r>
        <w:footnoteRef/>
      </w:r>
      <w:r>
        <w:t> [Methodik/Redaktion] Pilot-Anwendung der Hauptthese: Textbefund, Traditionsvergleich, historische Rekonstruktion und theologische Bewertung muessen methodisch getrennt bleiben.</w:t>
      </w:r>
    </w:p>
  </w:footnote>
  <w:footnote w:id="96">
    <w:p>
      <w:r>
        <w:footnoteRef/>
      </w:r>
      <w:r>
        <w:t> [Primaertext] Pilotregel fuer die Druckfassung: Kernthesen im Hauptteil mit Primaeranker und Forschungsanker belegen; Tabellen und Anlagen dienen der Orientierung, nicht als Belegersatz.</w:t>
      </w:r>
    </w:p>
  </w:footnote>
  <w:footnote w:id="97">
    <w:p>
      <w:r>
        <w:footnoteRef/>
      </w:r>
      <w:r>
        <w:t> [Epigraphik/Archaeologie] Merenptah-Stele; Hasel; Faust; Gadot zur Ethnogenese Israels.</w:t>
      </w:r>
    </w:p>
  </w:footnote>
  <w:footnote w:id="98">
    <w:p>
      <w:r>
        <w:footnoteRef/>
      </w:r>
      <w:r>
        <w:t> [Ugarit/Traditionsvergleich] Mark S. Smith; Smith/Pitard; Wyatt zu El, Baal, Athirat und Ugarit.</w:t>
      </w:r>
    </w:p>
  </w:footnote>
  <w:footnote w:id="99">
    <w:p>
      <w:r>
        <w:footnoteRef/>
      </w:r>
      <w:r>
        <w:t> [Textkritik] Dtn 32,8-9: MT, 4QDeutj, LXX; Vgl. Tov, Hendel, Heiser.</w:t>
      </w:r>
    </w:p>
  </w:footnote>
  <w:footnote w:id="100">
    <w:p>
      <w:r>
        <w:footnoteRef/>
      </w:r>
      <w:r>
        <w:t> [Primaertext] Psalm 82 als Rats-/Gerichtsszene; Vgl. McClellan, Thompson, Andresen.</w:t>
      </w:r>
    </w:p>
  </w:footnote>
  <w:footnote w:id="101">
    <w:p>
      <w:r>
        <w:footnoteRef/>
      </w:r>
      <w:r>
        <w:t> [Epigraphik/Archaeologie] Kuntillet Ajrud/Khirbet el-Qom; Vgl. Schniedewind, Hadley, Olyan, Zevit, Kim, Hess.</w:t>
      </w:r>
    </w:p>
  </w:footnote>
  <w:footnote w:id="102">
    <w:p>
      <w:r>
        <w:footnoteRef/>
      </w:r>
      <w:r>
        <w:t> [Altorientalischer Vergleich] ORACC zu Anunna/Anunnaki; elohim als hebr. Kontextbegriff, siehe Kapitel 2 und 7.</w:t>
      </w:r>
    </w:p>
  </w:footnote>
  <w:footnote w:id="103">
    <w:p>
      <w:r>
        <w:footnoteRef/>
      </w:r>
      <w:r>
        <w:t> [Primaertext] Second-Temple-Umdeutung: Reed, Nickelsburg, Reynolds, Patmore, Tronina, DSS/War Scroll.</w:t>
      </w:r>
    </w:p>
  </w:footnote>
  <w:footnote w:id="104">
    <w:p>
      <w:r>
        <w:footnoteRef/>
      </w:r>
      <w:r>
        <w:t> [Forschung] Gewalt/Opfer/Gericht: Firestone, Luelik, Botha, Levine, Satlow, Smelik, Levenson, Seri-Levi.</w:t>
      </w:r>
    </w:p>
  </w:footnote>
  <w:footnote w:id="105">
    <w:p>
      <w:r>
        <w:footnoteRef/>
      </w:r>
      <w:r>
        <w:t> [Textkritik] Fussnotentypen der Druckfassung: Primaertext, Textkritik, Inschrift/Epigraphik, Archaeologie, Forschung und Arbeitsmaterial muessen unterscheidbar bleiben.</w:t>
      </w:r>
    </w:p>
  </w:footnote>
  <w:footnote w:id="106">
    <w:p>
      <w:r>
        <w:footnoteRef/>
      </w:r>
      <w:r>
        <w:t> [Forschung] Validierungscheck: Eine Fussnote muss genau die Aussage tragen, an der sie steht; Quellenebene, Beleggrad und bibliographische Daten sind zu pruefen.</w:t>
      </w:r>
    </w:p>
  </w:footnote>
  <w:footnote w:id="107">
    <w:p>
      <w:r>
        <w:footnoteRef/>
      </w:r>
      <w:r>
        <w:t> [Methodik/Redaktion] Kapitel 14 definiert die Abschlusskette von der Forschungsfassung zur Druckfassung: Fussnoten, Literaturdaten, Altmaterial, Inhaltsverzeichnis und Layout.</w:t>
      </w:r>
    </w:p>
  </w:footnote>
  <w:footnote w:id="108">
    <w:p>
      <w:r>
        <w:footnoteRef/>
      </w:r>
      <w:r>
        <w:t> [Primaertext] Arbeitsstand der Druckfassungsphase: inhaltliche Hauptlinie steht; offen bleiben bibliographische Normalisierung, ausgewaehlte Anlagenstellen, Dopplungen und finale Layout-/Feldpruefung.</w:t>
      </w:r>
    </w:p>
  </w:footnote>
  <w:footnote w:id="109">
    <w:p>
      <w:r>
        <w:footnoteRef/>
      </w:r>
      <w:r>
        <w:t> [Methodik/Redaktion] Redaktionelle Reihenfolge: Umfang und Altmaterial zuerst stabilisieren, danach Fussnoten und Literaturdaten final normalisieren, anschliessend Felder und Layout pruefen.</w:t>
      </w:r>
    </w:p>
  </w:footnote>
  <w:footnote w:id="110">
    <w:p>
      <w:r>
        <w:footnoteRef/>
      </w:r>
      <w:r>
        <w:t> [Methodik/Redaktion] Druckreife-Kriterium: klare Antwortkapitel plus kontrollierter Quellenapparat; ohne validierte Literaturdaten und Anlagenstatus bleibt es eine fortgeschrittene Forschungsfassung.</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0B2545"/>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rial" w:hAnsi="Arial"/>
      <w:b/>
      <w:bCs/>
      <w:color w:val="1F3A5F"/>
      <w:sz w:val="28"/>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Arial" w:hAnsi="Arial"/>
      <w:b/>
      <w:bCs/>
      <w:color w:val="4343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